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575" w:rsidRPr="00407575" w:rsidRDefault="00407575" w:rsidP="00407575">
      <w:pPr>
        <w:bidi/>
        <w:spacing w:before="240" w:after="240"/>
        <w:ind w:firstLine="565"/>
        <w:jc w:val="lowKashida"/>
        <w:rPr>
          <w:rFonts w:ascii="Calibri" w:eastAsia="Times New Roman" w:hAnsi="Calibri" w:cs="Traditional Arabic"/>
          <w:b/>
          <w:bCs/>
          <w:sz w:val="36"/>
          <w:szCs w:val="36"/>
          <w:rtl/>
          <w:lang w:val="en-US" w:bidi="ar-DZ"/>
        </w:rPr>
      </w:pPr>
      <w:r w:rsidRPr="00407575">
        <w:rPr>
          <w:rFonts w:ascii="Calibri" w:eastAsia="Times New Roman" w:hAnsi="Calibri" w:cs="Traditional Arabic" w:hint="cs"/>
          <w:b/>
          <w:bCs/>
          <w:sz w:val="36"/>
          <w:szCs w:val="36"/>
          <w:rtl/>
          <w:lang w:val="en-US" w:bidi="ar-DZ"/>
        </w:rPr>
        <w:t>المدرسة التفكيكية والنسوية:</w:t>
      </w:r>
    </w:p>
    <w:p w:rsidR="00886CD3" w:rsidRDefault="00886CD3" w:rsidP="00407575">
      <w:pPr>
        <w:bidi/>
        <w:spacing w:before="240" w:after="240"/>
        <w:ind w:firstLine="565"/>
        <w:jc w:val="lowKashida"/>
        <w:rPr>
          <w:rFonts w:ascii="Calibri" w:eastAsia="Times New Roman" w:hAnsi="Calibri" w:cs="Traditional Arabic"/>
          <w:sz w:val="36"/>
          <w:szCs w:val="36"/>
          <w:rtl/>
          <w:lang w:val="en-US" w:bidi="ar-DZ"/>
        </w:rPr>
      </w:pPr>
      <w:r>
        <w:rPr>
          <w:rFonts w:ascii="Calibri" w:eastAsia="Times New Roman" w:hAnsi="Calibri" w:cs="Traditional Arabic" w:hint="cs"/>
          <w:sz w:val="36"/>
          <w:szCs w:val="36"/>
          <w:rtl/>
          <w:lang w:val="en-US" w:bidi="ar-DZ"/>
        </w:rPr>
        <w:t>يشارك</w:t>
      </w:r>
      <w:r w:rsidR="00407575">
        <w:rPr>
          <w:rFonts w:ascii="Calibri" w:eastAsia="Times New Roman" w:hAnsi="Calibri" w:cs="Traditional Arabic" w:hint="cs"/>
          <w:sz w:val="36"/>
          <w:szCs w:val="36"/>
          <w:rtl/>
          <w:lang w:val="en-US" w:bidi="ar-DZ"/>
        </w:rPr>
        <w:t xml:space="preserve"> مؤيدو</w:t>
      </w:r>
      <w:r>
        <w:rPr>
          <w:rFonts w:ascii="Calibri" w:eastAsia="Times New Roman" w:hAnsi="Calibri" w:cs="Traditional Arabic" w:hint="cs"/>
          <w:sz w:val="36"/>
          <w:szCs w:val="36"/>
          <w:rtl/>
          <w:lang w:val="en-US" w:bidi="ar-DZ"/>
        </w:rPr>
        <w:t xml:space="preserve"> المدرسة التفكيكية لمرحلة ما بعد الحداثة في الحركة الفلسفية الشاملة التي أعلنتها النظرية الإجتماعية النقدية، وهم يدّعون القدرة على تفكيك كتابات الأكاديميين وصناع القرار عن طريق خطاباتهم، في اعتقاد منهم أن عملية التفكيك المنهجي تساعد على تفسير المعاني والمقاصد الذاتية المتضمنة في النصوص، في إطار البيئة الثقافية والإجتماعية.</w:t>
      </w:r>
    </w:p>
    <w:p w:rsidR="00886CD3" w:rsidRDefault="00886CD3" w:rsidP="00407575">
      <w:pPr>
        <w:bidi/>
        <w:spacing w:before="240"/>
        <w:ind w:firstLine="565"/>
        <w:jc w:val="lowKashida"/>
        <w:rPr>
          <w:rFonts w:ascii="ArialMT" w:eastAsia="Times New Roman" w:hAnsi="ArialMT" w:cs="Traditional Arabic"/>
          <w:sz w:val="36"/>
          <w:szCs w:val="36"/>
          <w:rtl/>
          <w:lang w:val="en-US"/>
        </w:rPr>
      </w:pPr>
      <w:r>
        <w:rPr>
          <w:rFonts w:ascii="Arial" w:eastAsia="Times New Roman" w:hAnsi="Arial" w:cs="Traditional Arabic" w:hint="cs"/>
          <w:sz w:val="36"/>
          <w:szCs w:val="36"/>
          <w:shd w:val="clear" w:color="auto" w:fill="FFFFFF"/>
          <w:rtl/>
          <w:lang w:val="en-US" w:bidi="ar-DZ"/>
        </w:rPr>
        <w:t>تجلت إسهامات المدرسة التفكيكية للدراسات الأمنية بشكل كبير عبر اجتهادات</w:t>
      </w:r>
      <w:r w:rsidRPr="002C4744">
        <w:rPr>
          <w:rFonts w:ascii="Arial" w:eastAsia="Times New Roman" w:hAnsi="Arial" w:cs="Traditional Arabic"/>
          <w:sz w:val="36"/>
          <w:szCs w:val="36"/>
          <w:shd w:val="clear" w:color="auto" w:fill="FFFFFF"/>
          <w:rtl/>
          <w:lang w:val="en-US"/>
        </w:rPr>
        <w:t xml:space="preserve">مدرسة كوبنهاغن </w:t>
      </w:r>
      <w:r>
        <w:rPr>
          <w:rFonts w:ascii="Arial" w:eastAsia="Times New Roman" w:hAnsi="Arial" w:cs="Traditional Arabic" w:hint="cs"/>
          <w:sz w:val="36"/>
          <w:szCs w:val="36"/>
          <w:shd w:val="clear" w:color="auto" w:fill="FFFFFF"/>
          <w:rtl/>
          <w:lang w:val="en-US"/>
        </w:rPr>
        <w:t>في</w:t>
      </w:r>
      <w:r w:rsidRPr="002C4744">
        <w:rPr>
          <w:rFonts w:ascii="Arial" w:eastAsia="Times New Roman" w:hAnsi="Arial" w:cs="Traditional Arabic"/>
          <w:sz w:val="36"/>
          <w:szCs w:val="36"/>
          <w:shd w:val="clear" w:color="auto" w:fill="FFFFFF"/>
          <w:rtl/>
          <w:lang w:val="en-US"/>
        </w:rPr>
        <w:t xml:space="preserve"> إحياء الدراسات الأمنية بناء على </w:t>
      </w:r>
      <w:r>
        <w:rPr>
          <w:rFonts w:ascii="Arial" w:eastAsia="Times New Roman" w:hAnsi="Arial" w:cs="Traditional Arabic" w:hint="cs"/>
          <w:sz w:val="36"/>
          <w:szCs w:val="36"/>
          <w:shd w:val="clear" w:color="auto" w:fill="FFFFFF"/>
          <w:rtl/>
          <w:lang w:val="en-US"/>
        </w:rPr>
        <w:t xml:space="preserve">كون </w:t>
      </w:r>
      <w:r w:rsidRPr="002C4744">
        <w:rPr>
          <w:rFonts w:ascii="Arial" w:eastAsia="Times New Roman" w:hAnsi="Arial" w:cs="Traditional Arabic"/>
          <w:sz w:val="36"/>
          <w:szCs w:val="36"/>
          <w:shd w:val="clear" w:color="auto" w:fill="FFFFFF"/>
          <w:rtl/>
          <w:lang w:val="en-US"/>
        </w:rPr>
        <w:t xml:space="preserve">الأمن هو"فعل الخطاب" </w:t>
      </w:r>
      <w:r w:rsidRPr="002C4744">
        <w:rPr>
          <w:rFonts w:ascii="Times New Roman" w:eastAsia="Times New Roman" w:hAnsi="Times New Roman" w:cs="Traditional Arabic"/>
          <w:sz w:val="28"/>
          <w:szCs w:val="28"/>
        </w:rPr>
        <w:t>Speech Acts</w:t>
      </w:r>
      <w:r>
        <w:rPr>
          <w:rFonts w:ascii="Times New Roman" w:eastAsia="Times New Roman" w:hAnsi="Times New Roman" w:cs="Traditional Arabic" w:hint="cs"/>
          <w:sz w:val="28"/>
          <w:szCs w:val="28"/>
          <w:rtl/>
        </w:rPr>
        <w:t>،</w:t>
      </w:r>
      <w:r>
        <w:rPr>
          <w:rFonts w:ascii="Arial" w:eastAsia="Times New Roman" w:hAnsi="Arial" w:cs="Traditional Arabic" w:hint="cs"/>
          <w:sz w:val="36"/>
          <w:szCs w:val="36"/>
          <w:shd w:val="clear" w:color="auto" w:fill="FFFFFF"/>
          <w:rtl/>
          <w:lang w:val="en-US"/>
        </w:rPr>
        <w:t>لا سيما لدى اهتمامهم ببرامج البحث في الأمننة،</w:t>
      </w:r>
      <w:r>
        <w:rPr>
          <w:rFonts w:ascii="ArialMT" w:eastAsia="Times New Roman" w:hAnsi="ArialMT" w:cs="Traditional Arabic" w:hint="cs"/>
          <w:sz w:val="36"/>
          <w:szCs w:val="36"/>
          <w:rtl/>
          <w:lang w:val="en-US"/>
        </w:rPr>
        <w:t xml:space="preserve">فعلى </w:t>
      </w:r>
      <w:r w:rsidRPr="002C4744">
        <w:rPr>
          <w:rFonts w:ascii="ArialMT" w:eastAsia="Times New Roman" w:hAnsi="ArialMT" w:cs="Traditional Arabic" w:hint="cs"/>
          <w:sz w:val="36"/>
          <w:szCs w:val="36"/>
          <w:rtl/>
          <w:lang w:val="en-US"/>
        </w:rPr>
        <w:t xml:space="preserve">عكس الدراسات الأمنية الكلاسيكية التي تركز على العناصر المادية للتهديد </w:t>
      </w:r>
      <w:r>
        <w:rPr>
          <w:rFonts w:ascii="ArialMT" w:eastAsia="Times New Roman" w:hAnsi="ArialMT" w:cs="Traditional Arabic" w:hint="cs"/>
          <w:sz w:val="36"/>
          <w:szCs w:val="36"/>
          <w:rtl/>
          <w:lang w:val="en-US"/>
        </w:rPr>
        <w:t>الم</w:t>
      </w:r>
      <w:r w:rsidRPr="002C4744">
        <w:rPr>
          <w:rFonts w:ascii="ArialMT" w:eastAsia="Times New Roman" w:hAnsi="ArialMT" w:cs="Traditional Arabic" w:hint="cs"/>
          <w:sz w:val="36"/>
          <w:szCs w:val="36"/>
          <w:rtl/>
          <w:lang w:val="en-US"/>
        </w:rPr>
        <w:t>تمثل</w:t>
      </w:r>
      <w:r>
        <w:rPr>
          <w:rFonts w:ascii="ArialMT" w:eastAsia="Times New Roman" w:hAnsi="ArialMT" w:cs="Traditional Arabic" w:hint="cs"/>
          <w:sz w:val="36"/>
          <w:szCs w:val="36"/>
          <w:rtl/>
          <w:lang w:val="en-US"/>
        </w:rPr>
        <w:t>ة</w:t>
      </w:r>
      <w:r w:rsidRPr="002C4744">
        <w:rPr>
          <w:rFonts w:ascii="ArialMT" w:eastAsia="Times New Roman" w:hAnsi="ArialMT" w:cs="Traditional Arabic" w:hint="cs"/>
          <w:sz w:val="36"/>
          <w:szCs w:val="36"/>
          <w:rtl/>
          <w:lang w:val="en-US"/>
        </w:rPr>
        <w:t xml:space="preserve"> في نمط </w:t>
      </w:r>
      <w:r>
        <w:rPr>
          <w:rFonts w:ascii="ArialMT" w:eastAsia="Times New Roman" w:hAnsi="ArialMT" w:cs="Traditional Arabic" w:hint="cs"/>
          <w:sz w:val="36"/>
          <w:szCs w:val="36"/>
          <w:rtl/>
          <w:lang w:val="en-US"/>
        </w:rPr>
        <w:t>توزيع القوة و</w:t>
      </w:r>
      <w:r w:rsidRPr="002C4744">
        <w:rPr>
          <w:rFonts w:ascii="ArialMT" w:eastAsia="Times New Roman" w:hAnsi="ArialMT" w:cs="Traditional Arabic" w:hint="cs"/>
          <w:sz w:val="36"/>
          <w:szCs w:val="36"/>
          <w:rtl/>
          <w:lang w:val="en-US"/>
        </w:rPr>
        <w:t>القدرات العسكرية، يبحث مفهوم الأمننة في الكيفية التي يتحول بها موضوع معين من قبل فاعل ما إلى مسألة أمنية، </w:t>
      </w:r>
      <w:r>
        <w:rPr>
          <w:rFonts w:ascii="ArialMT" w:eastAsia="Times New Roman" w:hAnsi="ArialMT" w:cs="Traditional Arabic" w:hint="cs"/>
          <w:sz w:val="36"/>
          <w:szCs w:val="36"/>
          <w:rtl/>
          <w:lang w:val="en-US"/>
        </w:rPr>
        <w:t>ويرى</w:t>
      </w:r>
      <w:r w:rsidRPr="002C4744">
        <w:rPr>
          <w:rFonts w:ascii="ArialMT" w:eastAsia="Times New Roman" w:hAnsi="ArialMT" w:cs="Traditional Arabic" w:hint="cs"/>
          <w:sz w:val="36"/>
          <w:szCs w:val="36"/>
          <w:rtl/>
          <w:lang w:val="en-US"/>
        </w:rPr>
        <w:t xml:space="preserve"> ويفر بأن </w:t>
      </w:r>
      <w:r>
        <w:rPr>
          <w:rFonts w:ascii="ArialMT" w:eastAsia="Times New Roman" w:hAnsi="ArialMT" w:cs="Traditional Arabic" w:hint="cs"/>
          <w:sz w:val="36"/>
          <w:szCs w:val="36"/>
          <w:rtl/>
          <w:lang w:val="en-US"/>
        </w:rPr>
        <w:t xml:space="preserve">إعلان النخب (تصريح - خطاب) يكفي لتحويل </w:t>
      </w:r>
      <w:r w:rsidRPr="002C4744">
        <w:rPr>
          <w:rFonts w:ascii="ArialMT" w:eastAsia="Times New Roman" w:hAnsi="ArialMT" w:cs="Traditional Arabic" w:hint="cs"/>
          <w:sz w:val="36"/>
          <w:szCs w:val="36"/>
          <w:rtl/>
          <w:lang w:val="en-US"/>
        </w:rPr>
        <w:t>مسألة ما إلى مشكل أمني</w:t>
      </w:r>
      <w:r>
        <w:rPr>
          <w:rFonts w:ascii="ArialMT" w:eastAsia="Times New Roman" w:hAnsi="ArialMT" w:cs="Traditional Arabic" w:hint="cs"/>
          <w:sz w:val="36"/>
          <w:szCs w:val="36"/>
          <w:rtl/>
          <w:lang w:val="en-US"/>
        </w:rPr>
        <w:t>.</w:t>
      </w:r>
    </w:p>
    <w:p w:rsidR="00886CD3" w:rsidRDefault="00886CD3" w:rsidP="00407575">
      <w:pPr>
        <w:bidi/>
        <w:spacing w:before="240"/>
        <w:ind w:firstLine="565"/>
        <w:jc w:val="lowKashida"/>
        <w:rPr>
          <w:rFonts w:ascii="ArialMT" w:eastAsia="Times New Roman" w:hAnsi="ArialMT" w:cs="Traditional Arabic"/>
          <w:sz w:val="36"/>
          <w:szCs w:val="36"/>
          <w:rtl/>
          <w:lang w:val="en-US"/>
        </w:rPr>
      </w:pPr>
      <w:r>
        <w:rPr>
          <w:rFonts w:ascii="Times New Roman" w:eastAsia="Times New Roman" w:hAnsi="Times New Roman" w:cs="Traditional Arabic" w:hint="cs"/>
          <w:sz w:val="36"/>
          <w:szCs w:val="36"/>
          <w:rtl/>
          <w:lang w:val="en-US" w:bidi="ar-DZ"/>
        </w:rPr>
        <w:t>ف</w:t>
      </w:r>
      <w:r w:rsidRPr="002C4744">
        <w:rPr>
          <w:rFonts w:ascii="Times New Roman" w:eastAsia="Times New Roman" w:hAnsi="Times New Roman" w:cs="Traditional Arabic"/>
          <w:sz w:val="36"/>
          <w:szCs w:val="36"/>
          <w:rtl/>
          <w:lang w:val="en-US"/>
        </w:rPr>
        <w:t xml:space="preserve">الأمننة </w:t>
      </w:r>
      <w:r>
        <w:rPr>
          <w:rFonts w:ascii="Times New Roman" w:eastAsia="Times New Roman" w:hAnsi="Times New Roman" w:cs="Traditional Arabic" w:hint="cs"/>
          <w:sz w:val="36"/>
          <w:szCs w:val="36"/>
          <w:rtl/>
          <w:lang w:val="en-US"/>
        </w:rPr>
        <w:t xml:space="preserve">حسب بوزان </w:t>
      </w:r>
      <w:r w:rsidRPr="002C4744">
        <w:rPr>
          <w:rFonts w:ascii="Times New Roman" w:eastAsia="Times New Roman" w:hAnsi="Times New Roman" w:cs="Traditional Arabic"/>
          <w:sz w:val="36"/>
          <w:szCs w:val="36"/>
          <w:rtl/>
          <w:lang w:val="en-US"/>
        </w:rPr>
        <w:t xml:space="preserve">هي إضافة الطابع الأمني </w:t>
      </w:r>
      <w:r>
        <w:rPr>
          <w:rFonts w:ascii="Times New Roman" w:eastAsia="Times New Roman" w:hAnsi="Times New Roman" w:cs="Traditional Arabic" w:hint="cs"/>
          <w:sz w:val="36"/>
          <w:szCs w:val="36"/>
          <w:rtl/>
          <w:lang w:val="en-US"/>
        </w:rPr>
        <w:t>على مجال معين من السياسات عبر عملية خطابية لغوية</w:t>
      </w:r>
      <w:r>
        <w:rPr>
          <w:rFonts w:ascii="Times New Roman" w:eastAsia="Times New Roman" w:hAnsi="Times New Roman" w:cs="Traditional Arabic" w:hint="cs"/>
          <w:sz w:val="36"/>
          <w:szCs w:val="36"/>
          <w:rtl/>
        </w:rPr>
        <w:t>،</w:t>
      </w:r>
      <w:r w:rsidRPr="002C4744">
        <w:rPr>
          <w:rFonts w:ascii="Times New Roman" w:eastAsia="Times New Roman" w:hAnsi="Times New Roman" w:cs="Traditional Arabic" w:hint="cs"/>
          <w:sz w:val="36"/>
          <w:szCs w:val="36"/>
          <w:rtl/>
          <w:lang w:val="en-US"/>
        </w:rPr>
        <w:t xml:space="preserve"> حيث </w:t>
      </w:r>
      <w:r>
        <w:rPr>
          <w:rFonts w:ascii="Times New Roman" w:eastAsia="Times New Roman" w:hAnsi="Times New Roman" w:cs="Traditional Arabic" w:hint="cs"/>
          <w:sz w:val="36"/>
          <w:szCs w:val="36"/>
          <w:rtl/>
          <w:lang w:val="en-US"/>
        </w:rPr>
        <w:t xml:space="preserve">يحيل </w:t>
      </w:r>
      <w:r w:rsidRPr="002C4744">
        <w:rPr>
          <w:rFonts w:ascii="Times New Roman" w:eastAsia="Times New Roman" w:hAnsi="Times New Roman" w:cs="Traditional Arabic" w:hint="cs"/>
          <w:sz w:val="36"/>
          <w:szCs w:val="36"/>
          <w:rtl/>
          <w:lang w:val="en-US"/>
        </w:rPr>
        <w:t xml:space="preserve">هذا الخطاب على الاستدلال بوجود تهديد يمس البقاء </w:t>
      </w:r>
      <w:r>
        <w:rPr>
          <w:rFonts w:ascii="Times New Roman" w:eastAsia="Times New Roman" w:hAnsi="Times New Roman" w:cs="Traditional Arabic" w:hint="cs"/>
          <w:sz w:val="36"/>
          <w:szCs w:val="36"/>
          <w:rtl/>
          <w:lang w:val="en-US"/>
        </w:rPr>
        <w:t>المادي أو المعنوي</w:t>
      </w:r>
      <w:r w:rsidRPr="002C4744">
        <w:rPr>
          <w:rFonts w:ascii="Times New Roman" w:eastAsia="Times New Roman" w:hAnsi="Times New Roman" w:cs="Traditional Arabic" w:hint="cs"/>
          <w:sz w:val="36"/>
          <w:szCs w:val="36"/>
          <w:rtl/>
          <w:lang w:val="en-US"/>
        </w:rPr>
        <w:t xml:space="preserve"> لمرجعية أمنية ما </w:t>
      </w:r>
      <w:r>
        <w:rPr>
          <w:rFonts w:ascii="Times New Roman" w:eastAsia="Times New Roman" w:hAnsi="Times New Roman" w:cs="Traditional Arabic" w:hint="cs"/>
          <w:sz w:val="36"/>
          <w:szCs w:val="36"/>
          <w:rtl/>
          <w:lang w:val="en-US"/>
        </w:rPr>
        <w:t>(</w:t>
      </w:r>
      <w:r w:rsidRPr="002C4744">
        <w:rPr>
          <w:rFonts w:ascii="Times New Roman" w:eastAsia="Times New Roman" w:hAnsi="Times New Roman" w:cs="Traditional Arabic" w:hint="cs"/>
          <w:sz w:val="36"/>
          <w:szCs w:val="36"/>
          <w:rtl/>
          <w:lang w:val="en-US"/>
        </w:rPr>
        <w:t>قد تكون الفرد أو</w:t>
      </w:r>
      <w:r>
        <w:rPr>
          <w:rFonts w:ascii="Times New Roman" w:eastAsia="Times New Roman" w:hAnsi="Times New Roman" w:cs="Traditional Arabic" w:hint="cs"/>
          <w:sz w:val="36"/>
          <w:szCs w:val="36"/>
          <w:rtl/>
          <w:lang w:val="en-US"/>
        </w:rPr>
        <w:t xml:space="preserve"> الجماعة أو الدولة أو الهوية)، </w:t>
      </w:r>
      <w:r w:rsidRPr="002C4744">
        <w:rPr>
          <w:rFonts w:ascii="Times New Roman" w:eastAsia="Times New Roman" w:hAnsi="Times New Roman" w:cs="Traditional Arabic" w:hint="cs"/>
          <w:sz w:val="36"/>
          <w:szCs w:val="36"/>
          <w:rtl/>
          <w:lang w:val="en-US"/>
        </w:rPr>
        <w:t xml:space="preserve">وتهدف عملية إضفاء الطابع الأمني على قضية ما إلى لجوء القائمين على رسم السياسة العامة لمجال ما لترتيبات استثنائية الغاية منها  تأمين "الكيان" محل التهديد من المخاطر المحدقة به، ويتبع ذلك </w:t>
      </w:r>
      <w:r>
        <w:rPr>
          <w:rFonts w:ascii="Times New Roman" w:eastAsia="Times New Roman" w:hAnsi="Times New Roman" w:cs="Traditional Arabic" w:hint="cs"/>
          <w:sz w:val="36"/>
          <w:szCs w:val="36"/>
          <w:rtl/>
          <w:lang w:val="en-US"/>
        </w:rPr>
        <w:t xml:space="preserve">نقله </w:t>
      </w:r>
      <w:r w:rsidRPr="002C4744">
        <w:rPr>
          <w:rFonts w:ascii="Times New Roman" w:eastAsia="Times New Roman" w:hAnsi="Times New Roman" w:cs="Traditional Arabic" w:hint="cs"/>
          <w:sz w:val="36"/>
          <w:szCs w:val="36"/>
          <w:rtl/>
          <w:lang w:val="en-US"/>
        </w:rPr>
        <w:t xml:space="preserve">من الحيز العادي للسياسة العامة إلى حيز </w:t>
      </w:r>
      <w:r>
        <w:rPr>
          <w:rFonts w:ascii="Times New Roman" w:eastAsia="Times New Roman" w:hAnsi="Times New Roman" w:cs="Traditional Arabic" w:hint="cs"/>
          <w:sz w:val="36"/>
          <w:szCs w:val="36"/>
          <w:rtl/>
          <w:lang w:val="en-US"/>
        </w:rPr>
        <w:t>قضاياها الطارئة،</w:t>
      </w:r>
      <w:r w:rsidRPr="002C4744">
        <w:rPr>
          <w:rFonts w:ascii="Times New Roman" w:eastAsia="Times New Roman" w:hAnsi="Times New Roman" w:cs="Traditional Arabic" w:hint="cs"/>
          <w:sz w:val="36"/>
          <w:szCs w:val="36"/>
          <w:rtl/>
          <w:lang w:val="en-US"/>
        </w:rPr>
        <w:t xml:space="preserve"> حيث يمكن التعامل معها بسلاس</w:t>
      </w:r>
      <w:r>
        <w:rPr>
          <w:rFonts w:ascii="Times New Roman" w:eastAsia="Times New Roman" w:hAnsi="Times New Roman" w:cs="Traditional Arabic" w:hint="cs"/>
          <w:sz w:val="36"/>
          <w:szCs w:val="36"/>
          <w:rtl/>
          <w:lang w:val="en-US"/>
        </w:rPr>
        <w:t>ة أكثر بعيدا عن ضغوط المجتمع المدني، أين لا يتمتعا</w:t>
      </w:r>
      <w:r w:rsidRPr="002C4744">
        <w:rPr>
          <w:rFonts w:ascii="Times New Roman" w:eastAsia="Times New Roman" w:hAnsi="Times New Roman" w:cs="Traditional Arabic" w:hint="cs"/>
          <w:sz w:val="36"/>
          <w:szCs w:val="36"/>
          <w:rtl/>
          <w:lang w:val="en-US"/>
        </w:rPr>
        <w:t xml:space="preserve">لأمن </w:t>
      </w:r>
      <w:r>
        <w:rPr>
          <w:rFonts w:ascii="Times New Roman" w:eastAsia="Times New Roman" w:hAnsi="Times New Roman" w:cs="Traditional Arabic" w:hint="cs"/>
          <w:sz w:val="36"/>
          <w:szCs w:val="36"/>
          <w:rtl/>
          <w:lang w:val="en-US"/>
        </w:rPr>
        <w:t>ب</w:t>
      </w:r>
      <w:r w:rsidRPr="002C4744">
        <w:rPr>
          <w:rFonts w:ascii="Times New Roman" w:eastAsia="Times New Roman" w:hAnsi="Times New Roman" w:cs="Traditional Arabic" w:hint="cs"/>
          <w:sz w:val="36"/>
          <w:szCs w:val="36"/>
          <w:rtl/>
          <w:lang w:val="en-US"/>
        </w:rPr>
        <w:t>مضمون محدد سلفا</w:t>
      </w:r>
      <w:r>
        <w:rPr>
          <w:rFonts w:ascii="Times New Roman" w:eastAsia="Times New Roman" w:hAnsi="Times New Roman" w:cs="Traditional Arabic" w:hint="cs"/>
          <w:sz w:val="36"/>
          <w:szCs w:val="36"/>
          <w:rtl/>
          <w:lang w:val="en-US"/>
        </w:rPr>
        <w:t>،</w:t>
      </w:r>
      <w:r w:rsidRPr="002C4744">
        <w:rPr>
          <w:rFonts w:ascii="Times New Roman" w:eastAsia="Times New Roman" w:hAnsi="Times New Roman" w:cs="Traditional Arabic" w:hint="cs"/>
          <w:sz w:val="36"/>
          <w:szCs w:val="36"/>
          <w:rtl/>
          <w:lang w:val="en-US"/>
        </w:rPr>
        <w:t xml:space="preserve"> بل يتغير</w:t>
      </w:r>
      <w:r>
        <w:rPr>
          <w:rFonts w:ascii="Times New Roman" w:eastAsia="Times New Roman" w:hAnsi="Times New Roman" w:cs="Traditional Arabic" w:hint="cs"/>
          <w:sz w:val="36"/>
          <w:szCs w:val="36"/>
          <w:rtl/>
          <w:lang w:val="en-US"/>
        </w:rPr>
        <w:t xml:space="preserve"> محتواه</w:t>
      </w:r>
      <w:r w:rsidR="00407575">
        <w:rPr>
          <w:rFonts w:ascii="Times New Roman" w:eastAsia="Times New Roman" w:hAnsi="Times New Roman" w:cs="Traditional Arabic"/>
          <w:sz w:val="36"/>
          <w:szCs w:val="36"/>
          <w:lang w:val="en-US"/>
        </w:rPr>
        <w:t xml:space="preserve"> </w:t>
      </w:r>
      <w:r>
        <w:rPr>
          <w:rFonts w:ascii="Times New Roman" w:eastAsia="Times New Roman" w:hAnsi="Times New Roman" w:cs="Traditional Arabic" w:hint="cs"/>
          <w:sz w:val="36"/>
          <w:szCs w:val="36"/>
          <w:rtl/>
          <w:lang w:val="en-US"/>
        </w:rPr>
        <w:t xml:space="preserve">بشكل </w:t>
      </w:r>
      <w:r w:rsidRPr="002C4744">
        <w:rPr>
          <w:rFonts w:ascii="Times New Roman" w:eastAsia="Times New Roman" w:hAnsi="Times New Roman" w:cs="Traditional Arabic" w:hint="cs"/>
          <w:sz w:val="36"/>
          <w:szCs w:val="36"/>
          <w:rtl/>
          <w:lang w:val="en-US"/>
        </w:rPr>
        <w:t xml:space="preserve">ديناميكي عبر التفاعل </w:t>
      </w:r>
      <w:r w:rsidRPr="002C4744">
        <w:rPr>
          <w:rFonts w:asciiTheme="majorBidi" w:eastAsia="Times New Roman" w:hAnsiTheme="majorBidi" w:cstheme="majorBidi"/>
          <w:sz w:val="28"/>
          <w:szCs w:val="28"/>
          <w:lang w:val="en-US"/>
        </w:rPr>
        <w:t>Intersubjectiv</w:t>
      </w:r>
      <w:r>
        <w:rPr>
          <w:rFonts w:asciiTheme="majorBidi" w:eastAsia="Times New Roman" w:hAnsiTheme="majorBidi" w:cstheme="majorBidi"/>
          <w:sz w:val="28"/>
          <w:szCs w:val="28"/>
          <w:lang w:val="en-US"/>
        </w:rPr>
        <w:t>ité</w:t>
      </w:r>
      <w:r w:rsidRPr="002C4744">
        <w:rPr>
          <w:rFonts w:ascii="Times New Roman" w:eastAsia="Times New Roman" w:hAnsi="Times New Roman" w:cs="Traditional Arabic"/>
          <w:sz w:val="36"/>
          <w:szCs w:val="36"/>
          <w:rtl/>
          <w:lang w:val="en-US"/>
        </w:rPr>
        <w:t xml:space="preserve"> بين الأفراد</w:t>
      </w:r>
      <w:r>
        <w:rPr>
          <w:rFonts w:ascii="Times New Roman" w:eastAsia="Times New Roman" w:hAnsi="Times New Roman" w:cs="Traditional Arabic" w:hint="cs"/>
          <w:sz w:val="36"/>
          <w:szCs w:val="36"/>
          <w:rtl/>
          <w:lang w:val="en-US"/>
        </w:rPr>
        <w:t>.</w:t>
      </w:r>
    </w:p>
    <w:p w:rsidR="00886CD3" w:rsidRDefault="00886CD3" w:rsidP="00407575">
      <w:pPr>
        <w:bidi/>
        <w:spacing w:before="240" w:after="240"/>
        <w:ind w:firstLine="565"/>
        <w:jc w:val="lowKashida"/>
        <w:rPr>
          <w:rFonts w:ascii="Calibri" w:eastAsia="Times New Roman" w:hAnsi="Calibri" w:cs="Traditional Arabic"/>
          <w:sz w:val="36"/>
          <w:szCs w:val="36"/>
          <w:rtl/>
          <w:lang w:bidi="ar-DZ"/>
        </w:rPr>
      </w:pPr>
      <w:r>
        <w:rPr>
          <w:rFonts w:ascii="Calibri" w:eastAsia="Times New Roman" w:hAnsi="Calibri" w:cs="Traditional Arabic" w:hint="cs"/>
          <w:sz w:val="36"/>
          <w:szCs w:val="36"/>
          <w:rtl/>
          <w:lang w:val="en-US" w:bidi="ar-DZ"/>
        </w:rPr>
        <w:lastRenderedPageBreak/>
        <w:t xml:space="preserve">بينما تذهب آن تيكنر </w:t>
      </w:r>
      <w:r w:rsidR="00160946">
        <w:rPr>
          <w:rFonts w:ascii="Calibri" w:eastAsia="Times New Roman" w:hAnsi="Calibri" w:cs="Traditional Arabic"/>
          <w:sz w:val="36"/>
          <w:szCs w:val="36"/>
          <w:lang w:val="en-US" w:bidi="ar-DZ"/>
        </w:rPr>
        <w:t xml:space="preserve"> </w:t>
      </w:r>
      <w:r w:rsidRPr="00CD76DB">
        <w:rPr>
          <w:rFonts w:asciiTheme="majorBidi" w:eastAsia="Times New Roman" w:hAnsiTheme="majorBidi" w:cstheme="majorBidi"/>
          <w:sz w:val="28"/>
          <w:szCs w:val="28"/>
          <w:lang w:bidi="ar-DZ"/>
        </w:rPr>
        <w:t>Ann TICKNER</w:t>
      </w:r>
      <w:r>
        <w:rPr>
          <w:rFonts w:ascii="Calibri" w:eastAsia="Times New Roman" w:hAnsi="Calibri" w:cs="Traditional Arabic" w:hint="cs"/>
          <w:sz w:val="36"/>
          <w:szCs w:val="36"/>
          <w:rtl/>
          <w:lang w:bidi="ar-DZ"/>
        </w:rPr>
        <w:t>في سياق آخر إلى بلورة مقاربة نقدية نسوية، تنتقد التركيز الواقعي على العنصر الذكوري في صناعة السياسة الدولية بشكل عام، حيث لا تتطرق المقاربة الهوبزية حسبها إلى وضع النساء في "حالة الفطرة" لأنهن وإن لم يشاركن في الأعمال الحربية التي تركّز عليها المقاربة الصراعية للعلاقات الدولية، فإنهن أهم عنصر في إعادة الإنتاج والتربية ...الخ.</w:t>
      </w:r>
    </w:p>
    <w:p w:rsidR="00886CD3" w:rsidRPr="00BE776B" w:rsidRDefault="00886CD3" w:rsidP="00407575">
      <w:pPr>
        <w:bidi/>
        <w:spacing w:before="240"/>
        <w:ind w:firstLine="565"/>
        <w:jc w:val="lowKashida"/>
        <w:rPr>
          <w:rFonts w:ascii="Calibri" w:eastAsia="Times New Roman" w:hAnsi="Calibri" w:cs="Traditional Arabic"/>
          <w:sz w:val="36"/>
          <w:szCs w:val="36"/>
          <w:rtl/>
          <w:lang w:bidi="ar-DZ"/>
        </w:rPr>
      </w:pPr>
      <w:r>
        <w:rPr>
          <w:rFonts w:ascii="Calibri" w:eastAsia="Times New Roman" w:hAnsi="Calibri" w:cs="Traditional Arabic" w:hint="cs"/>
          <w:sz w:val="36"/>
          <w:szCs w:val="36"/>
          <w:rtl/>
          <w:lang w:bidi="ar-DZ"/>
        </w:rPr>
        <w:t xml:space="preserve">تستشهد تيكنر في تبرير الطابع العنصري والهيمنة الذكورية على الدراسات الدولية ببعض العناوين الأكاديمية، ككتاب </w:t>
      </w:r>
      <w:r w:rsidRPr="00617531">
        <w:rPr>
          <w:rFonts w:asciiTheme="majorBidi" w:eastAsia="Times New Roman" w:hAnsiTheme="majorBidi" w:cstheme="majorBidi"/>
          <w:sz w:val="28"/>
          <w:szCs w:val="28"/>
          <w:lang w:val="en-US"/>
        </w:rPr>
        <w:t>K</w:t>
      </w:r>
      <w:r>
        <w:rPr>
          <w:rFonts w:ascii="Calibri" w:eastAsia="Times New Roman" w:hAnsi="Calibri" w:cs="Traditional Arabic"/>
          <w:sz w:val="36"/>
          <w:szCs w:val="36"/>
          <w:lang w:bidi="ar-DZ"/>
        </w:rPr>
        <w:t>.</w:t>
      </w:r>
      <w:r w:rsidRPr="00617531">
        <w:rPr>
          <w:rFonts w:asciiTheme="majorBidi" w:eastAsia="Times New Roman" w:hAnsiTheme="majorBidi" w:cstheme="majorBidi"/>
          <w:sz w:val="28"/>
          <w:szCs w:val="28"/>
          <w:lang w:val="en-US"/>
        </w:rPr>
        <w:t>WALTZ«</w:t>
      </w:r>
      <w:r>
        <w:rPr>
          <w:rFonts w:ascii="Calibri" w:eastAsia="Times New Roman" w:hAnsi="Calibri" w:cs="Traditional Arabic"/>
          <w:sz w:val="36"/>
          <w:szCs w:val="36"/>
          <w:lang w:bidi="ar-DZ"/>
        </w:rPr>
        <w:t> </w:t>
      </w:r>
      <w:r w:rsidRPr="00617531">
        <w:rPr>
          <w:rFonts w:asciiTheme="majorBidi" w:eastAsia="Times New Roman" w:hAnsiTheme="majorBidi" w:cstheme="majorBidi"/>
          <w:sz w:val="28"/>
          <w:szCs w:val="28"/>
          <w:lang w:val="en-US"/>
        </w:rPr>
        <w:t>Man</w:t>
      </w:r>
      <w:r>
        <w:rPr>
          <w:rFonts w:ascii="Calibri" w:eastAsia="Times New Roman" w:hAnsi="Calibri" w:cs="Traditional Arabic"/>
          <w:sz w:val="36"/>
          <w:szCs w:val="36"/>
          <w:lang w:bidi="ar-DZ"/>
        </w:rPr>
        <w:t xml:space="preserve">, </w:t>
      </w:r>
      <w:r w:rsidRPr="00617531">
        <w:rPr>
          <w:rFonts w:asciiTheme="majorBidi" w:eastAsia="Times New Roman" w:hAnsiTheme="majorBidi" w:cstheme="majorBidi"/>
          <w:sz w:val="28"/>
          <w:szCs w:val="28"/>
          <w:lang w:val="en-US"/>
        </w:rPr>
        <w:t>the</w:t>
      </w:r>
      <w:r w:rsidR="00407575">
        <w:rPr>
          <w:rFonts w:asciiTheme="majorBidi" w:eastAsia="Times New Roman" w:hAnsiTheme="majorBidi" w:cstheme="majorBidi"/>
          <w:sz w:val="28"/>
          <w:szCs w:val="28"/>
          <w:lang w:val="en-US"/>
        </w:rPr>
        <w:t xml:space="preserve"> </w:t>
      </w:r>
      <w:r w:rsidRPr="00617531">
        <w:rPr>
          <w:rFonts w:asciiTheme="majorBidi" w:eastAsia="Times New Roman" w:hAnsiTheme="majorBidi" w:cstheme="majorBidi"/>
          <w:sz w:val="28"/>
          <w:szCs w:val="28"/>
          <w:lang w:val="en-US"/>
        </w:rPr>
        <w:t>State</w:t>
      </w:r>
      <w:r w:rsidR="00407575">
        <w:rPr>
          <w:rFonts w:asciiTheme="majorBidi" w:eastAsia="Times New Roman" w:hAnsiTheme="majorBidi" w:cstheme="majorBidi"/>
          <w:sz w:val="28"/>
          <w:szCs w:val="28"/>
          <w:lang w:val="en-US"/>
        </w:rPr>
        <w:t xml:space="preserve"> </w:t>
      </w:r>
      <w:r w:rsidRPr="00617531">
        <w:rPr>
          <w:rFonts w:asciiTheme="majorBidi" w:eastAsia="Times New Roman" w:hAnsiTheme="majorBidi" w:cstheme="majorBidi"/>
          <w:sz w:val="28"/>
          <w:szCs w:val="28"/>
          <w:lang w:val="en-US"/>
        </w:rPr>
        <w:t>and</w:t>
      </w:r>
      <w:r w:rsidR="00407575">
        <w:rPr>
          <w:rFonts w:asciiTheme="majorBidi" w:eastAsia="Times New Roman" w:hAnsiTheme="majorBidi" w:cstheme="majorBidi"/>
          <w:sz w:val="28"/>
          <w:szCs w:val="28"/>
          <w:lang w:val="en-US"/>
        </w:rPr>
        <w:t xml:space="preserve"> </w:t>
      </w:r>
      <w:r w:rsidRPr="00617531">
        <w:rPr>
          <w:rFonts w:asciiTheme="majorBidi" w:eastAsia="Times New Roman" w:hAnsiTheme="majorBidi" w:cstheme="majorBidi"/>
          <w:sz w:val="28"/>
          <w:szCs w:val="28"/>
          <w:lang w:val="en-US"/>
        </w:rPr>
        <w:t>War</w:t>
      </w:r>
      <w:r>
        <w:rPr>
          <w:rFonts w:ascii="Calibri" w:eastAsia="Times New Roman" w:hAnsi="Calibri" w:cs="Traditional Arabic"/>
          <w:sz w:val="36"/>
          <w:szCs w:val="36"/>
          <w:lang w:bidi="ar-DZ"/>
        </w:rPr>
        <w:t> </w:t>
      </w:r>
      <w:r w:rsidRPr="00617531">
        <w:rPr>
          <w:rFonts w:asciiTheme="majorBidi" w:eastAsia="Times New Roman" w:hAnsiTheme="majorBidi" w:cstheme="majorBidi"/>
          <w:sz w:val="28"/>
          <w:szCs w:val="28"/>
          <w:lang w:val="en-US"/>
        </w:rPr>
        <w:t>»</w:t>
      </w:r>
      <w:r>
        <w:rPr>
          <w:rFonts w:ascii="Calibri" w:eastAsia="Times New Roman" w:hAnsi="Calibri" w:cs="Traditional Arabic" w:hint="cs"/>
          <w:sz w:val="36"/>
          <w:szCs w:val="36"/>
          <w:rtl/>
          <w:lang w:bidi="ar-DZ"/>
        </w:rPr>
        <w:t xml:space="preserve"> وكتاب </w:t>
      </w:r>
      <w:r w:rsidRPr="00617531">
        <w:rPr>
          <w:rFonts w:asciiTheme="majorBidi" w:eastAsia="Times New Roman" w:hAnsiTheme="majorBidi" w:cstheme="majorBidi"/>
          <w:sz w:val="28"/>
          <w:szCs w:val="28"/>
          <w:lang w:val="en-US"/>
        </w:rPr>
        <w:t>LINKLATER</w:t>
      </w:r>
      <w:r>
        <w:rPr>
          <w:rFonts w:ascii="Calibri" w:eastAsia="Times New Roman" w:hAnsi="Calibri" w:cs="Traditional Arabic"/>
          <w:sz w:val="36"/>
          <w:szCs w:val="36"/>
          <w:lang w:bidi="ar-DZ"/>
        </w:rPr>
        <w:t xml:space="preserve"> « </w:t>
      </w:r>
      <w:r w:rsidRPr="00617531">
        <w:rPr>
          <w:rFonts w:asciiTheme="majorBidi" w:eastAsia="Times New Roman" w:hAnsiTheme="majorBidi" w:cstheme="majorBidi"/>
          <w:sz w:val="28"/>
          <w:szCs w:val="28"/>
          <w:lang w:val="en-US"/>
        </w:rPr>
        <w:t>Men</w:t>
      </w:r>
      <w:r w:rsidR="00407575">
        <w:rPr>
          <w:rFonts w:asciiTheme="majorBidi" w:eastAsia="Times New Roman" w:hAnsiTheme="majorBidi" w:cstheme="majorBidi"/>
          <w:sz w:val="28"/>
          <w:szCs w:val="28"/>
          <w:lang w:val="en-US"/>
        </w:rPr>
        <w:t xml:space="preserve"> </w:t>
      </w:r>
      <w:r w:rsidRPr="00617531">
        <w:rPr>
          <w:rFonts w:asciiTheme="majorBidi" w:eastAsia="Times New Roman" w:hAnsiTheme="majorBidi" w:cstheme="majorBidi"/>
          <w:sz w:val="28"/>
          <w:szCs w:val="28"/>
          <w:lang w:val="en-US"/>
        </w:rPr>
        <w:t>and</w:t>
      </w:r>
      <w:r w:rsidR="00407575">
        <w:rPr>
          <w:rFonts w:asciiTheme="majorBidi" w:eastAsia="Times New Roman" w:hAnsiTheme="majorBidi" w:cstheme="majorBidi"/>
          <w:sz w:val="28"/>
          <w:szCs w:val="28"/>
          <w:lang w:val="en-US"/>
        </w:rPr>
        <w:t xml:space="preserve"> </w:t>
      </w:r>
      <w:r w:rsidRPr="00617531">
        <w:rPr>
          <w:rFonts w:asciiTheme="majorBidi" w:eastAsia="Times New Roman" w:hAnsiTheme="majorBidi" w:cstheme="majorBidi"/>
          <w:sz w:val="28"/>
          <w:szCs w:val="28"/>
          <w:lang w:val="en-US"/>
        </w:rPr>
        <w:t>Citizens</w:t>
      </w:r>
      <w:r w:rsidR="00407575">
        <w:rPr>
          <w:rFonts w:asciiTheme="majorBidi" w:eastAsia="Times New Roman" w:hAnsiTheme="majorBidi" w:cstheme="majorBidi"/>
          <w:sz w:val="28"/>
          <w:szCs w:val="28"/>
          <w:lang w:val="en-US"/>
        </w:rPr>
        <w:t xml:space="preserve"> </w:t>
      </w:r>
      <w:r w:rsidRPr="00617531">
        <w:rPr>
          <w:rFonts w:asciiTheme="majorBidi" w:eastAsia="Times New Roman" w:hAnsiTheme="majorBidi" w:cstheme="majorBidi"/>
          <w:sz w:val="28"/>
          <w:szCs w:val="28"/>
          <w:lang w:val="en-US"/>
        </w:rPr>
        <w:t>in</w:t>
      </w:r>
      <w:r w:rsidR="00407575">
        <w:rPr>
          <w:rFonts w:asciiTheme="majorBidi" w:eastAsia="Times New Roman" w:hAnsiTheme="majorBidi" w:cstheme="majorBidi"/>
          <w:sz w:val="28"/>
          <w:szCs w:val="28"/>
          <w:lang w:val="en-US"/>
        </w:rPr>
        <w:t xml:space="preserve"> </w:t>
      </w:r>
      <w:r w:rsidRPr="00617531">
        <w:rPr>
          <w:rFonts w:asciiTheme="majorBidi" w:eastAsia="Times New Roman" w:hAnsiTheme="majorBidi" w:cstheme="majorBidi"/>
          <w:sz w:val="28"/>
          <w:szCs w:val="28"/>
          <w:lang w:val="en-US"/>
        </w:rPr>
        <w:t>t</w:t>
      </w:r>
      <w:r>
        <w:rPr>
          <w:rFonts w:asciiTheme="majorBidi" w:eastAsia="Times New Roman" w:hAnsiTheme="majorBidi" w:cstheme="majorBidi"/>
          <w:sz w:val="28"/>
          <w:szCs w:val="28"/>
        </w:rPr>
        <w:t>h</w:t>
      </w:r>
      <w:r w:rsidRPr="00617531">
        <w:rPr>
          <w:rFonts w:asciiTheme="majorBidi" w:eastAsia="Times New Roman" w:hAnsiTheme="majorBidi" w:cstheme="majorBidi"/>
          <w:sz w:val="28"/>
          <w:szCs w:val="28"/>
          <w:lang w:val="en-US"/>
        </w:rPr>
        <w:t>e</w:t>
      </w:r>
      <w:r w:rsidR="00407575">
        <w:rPr>
          <w:rFonts w:asciiTheme="majorBidi" w:eastAsia="Times New Roman" w:hAnsiTheme="majorBidi" w:cstheme="majorBidi"/>
          <w:sz w:val="28"/>
          <w:szCs w:val="28"/>
          <w:lang w:val="en-US"/>
        </w:rPr>
        <w:t xml:space="preserve"> </w:t>
      </w:r>
      <w:r w:rsidRPr="00617531">
        <w:rPr>
          <w:rFonts w:asciiTheme="majorBidi" w:eastAsia="Times New Roman" w:hAnsiTheme="majorBidi" w:cstheme="majorBidi"/>
          <w:sz w:val="28"/>
          <w:szCs w:val="28"/>
          <w:lang w:val="en-US"/>
        </w:rPr>
        <w:t>Theory</w:t>
      </w:r>
      <w:r w:rsidR="00407575">
        <w:rPr>
          <w:rFonts w:asciiTheme="majorBidi" w:eastAsia="Times New Roman" w:hAnsiTheme="majorBidi" w:cstheme="majorBidi"/>
          <w:sz w:val="28"/>
          <w:szCs w:val="28"/>
          <w:lang w:val="en-US"/>
        </w:rPr>
        <w:t xml:space="preserve"> </w:t>
      </w:r>
      <w:r w:rsidRPr="00617531">
        <w:rPr>
          <w:rFonts w:asciiTheme="majorBidi" w:eastAsia="Times New Roman" w:hAnsiTheme="majorBidi" w:cstheme="majorBidi"/>
          <w:sz w:val="28"/>
          <w:szCs w:val="28"/>
          <w:lang w:val="en-US"/>
        </w:rPr>
        <w:t>of</w:t>
      </w:r>
      <w:r w:rsidR="00407575">
        <w:rPr>
          <w:rFonts w:asciiTheme="majorBidi" w:eastAsia="Times New Roman" w:hAnsiTheme="majorBidi" w:cstheme="majorBidi"/>
          <w:sz w:val="28"/>
          <w:szCs w:val="28"/>
          <w:lang w:val="en-US"/>
        </w:rPr>
        <w:t xml:space="preserve"> </w:t>
      </w:r>
      <w:r w:rsidR="00407575" w:rsidRPr="00617531">
        <w:rPr>
          <w:rFonts w:asciiTheme="majorBidi" w:eastAsia="Times New Roman" w:hAnsiTheme="majorBidi" w:cstheme="majorBidi"/>
          <w:sz w:val="28"/>
          <w:szCs w:val="28"/>
          <w:lang w:val="en-US"/>
        </w:rPr>
        <w:t>International Relations</w:t>
      </w:r>
      <w:r>
        <w:rPr>
          <w:rFonts w:ascii="Calibri" w:eastAsia="Times New Roman" w:hAnsi="Calibri" w:cs="Traditional Arabic"/>
          <w:sz w:val="36"/>
          <w:szCs w:val="36"/>
          <w:lang w:bidi="ar-DZ"/>
        </w:rPr>
        <w:t xml:space="preserve"> » </w:t>
      </w:r>
      <w:r>
        <w:rPr>
          <w:rFonts w:ascii="Calibri" w:eastAsia="Times New Roman" w:hAnsi="Calibri" w:cs="Traditional Arabic" w:hint="cs"/>
          <w:sz w:val="36"/>
          <w:szCs w:val="36"/>
          <w:rtl/>
          <w:lang w:bidi="ar-DZ"/>
        </w:rPr>
        <w:t xml:space="preserve"> والتي تقصي حسبها ما يقارب نصف سكان العالم من التأثير الموجود واقعا في مجريات الأحداث الدولية؛</w:t>
      </w:r>
      <w:r w:rsidR="00407575">
        <w:rPr>
          <w:rFonts w:ascii="Calibri" w:eastAsia="Times New Roman" w:hAnsi="Calibri" w:cs="Traditional Arabic" w:hint="cs"/>
          <w:sz w:val="36"/>
          <w:szCs w:val="36"/>
          <w:rtl/>
          <w:lang w:bidi="ar-DZ"/>
        </w:rPr>
        <w:t xml:space="preserve"> </w:t>
      </w:r>
      <w:r>
        <w:rPr>
          <w:rFonts w:ascii="Calibri" w:eastAsia="Times New Roman" w:hAnsi="Calibri" w:cs="Traditional Arabic" w:hint="cs"/>
          <w:sz w:val="36"/>
          <w:szCs w:val="36"/>
          <w:rtl/>
          <w:lang w:bidi="ar-DZ"/>
        </w:rPr>
        <w:t>وتركّز تيكنر على كون النساء هنّ موضوع التهديد الأمني الداخلي (اغتصاب، تمييز، إخضاع ... الخ)، وعلى اعتبار البنية الأمنية من تشكيل الرجال تميل إلى العنف، ما يستدعي إشراك النساء أكثر فأكثر في صياغة السياسات الأمنية ومسار صناعة القرار بشكل عام.</w:t>
      </w:r>
    </w:p>
    <w:p w:rsidR="00F45E8A" w:rsidRDefault="00886CD3" w:rsidP="00407575">
      <w:pPr>
        <w:bidi/>
        <w:spacing w:before="240" w:after="240"/>
        <w:ind w:firstLine="565"/>
        <w:jc w:val="lowKashida"/>
      </w:pPr>
      <w:r w:rsidRPr="002C4744">
        <w:rPr>
          <w:rFonts w:ascii="Calibri" w:eastAsia="Times New Roman" w:hAnsi="Calibri" w:cs="Traditional Arabic" w:hint="cs"/>
          <w:sz w:val="36"/>
          <w:szCs w:val="36"/>
          <w:rtl/>
          <w:lang w:val="en-US" w:bidi="ar-DZ"/>
        </w:rPr>
        <w:t>وتحاول النظرية الاجتماعية النقدية</w:t>
      </w:r>
      <w:r>
        <w:rPr>
          <w:rFonts w:ascii="Calibri" w:eastAsia="Times New Roman" w:hAnsi="Calibri" w:cs="Traditional Arabic" w:hint="cs"/>
          <w:sz w:val="36"/>
          <w:szCs w:val="36"/>
          <w:rtl/>
          <w:lang w:val="en-US" w:bidi="ar-DZ"/>
        </w:rPr>
        <w:t xml:space="preserve"> بشكل عام</w:t>
      </w:r>
      <w:r w:rsidRPr="002C4744">
        <w:rPr>
          <w:rFonts w:ascii="Calibri" w:eastAsia="Times New Roman" w:hAnsi="Calibri" w:cs="Traditional Arabic" w:hint="cs"/>
          <w:sz w:val="36"/>
          <w:szCs w:val="36"/>
          <w:rtl/>
          <w:lang w:val="en-US" w:bidi="ar-DZ"/>
        </w:rPr>
        <w:t xml:space="preserve"> أن تستوعب عمليات ومسارات التغيير في المرك</w:t>
      </w:r>
      <w:r>
        <w:rPr>
          <w:rFonts w:ascii="Calibri" w:eastAsia="Times New Roman" w:hAnsi="Calibri" w:cs="Traditional Arabic" w:hint="cs"/>
          <w:sz w:val="36"/>
          <w:szCs w:val="36"/>
          <w:rtl/>
          <w:lang w:val="en-US" w:bidi="ar-DZ"/>
        </w:rPr>
        <w:t>ّ</w:t>
      </w:r>
      <w:r w:rsidRPr="002C4744">
        <w:rPr>
          <w:rFonts w:ascii="Calibri" w:eastAsia="Times New Roman" w:hAnsi="Calibri" w:cs="Traditional Arabic" w:hint="cs"/>
          <w:sz w:val="36"/>
          <w:szCs w:val="36"/>
          <w:rtl/>
          <w:lang w:val="en-US" w:bidi="ar-DZ"/>
        </w:rPr>
        <w:t xml:space="preserve">ب السياسي الاجتماعي كنسق متكامل، </w:t>
      </w:r>
      <w:r>
        <w:rPr>
          <w:rFonts w:ascii="Calibri" w:eastAsia="Times New Roman" w:hAnsi="Calibri" w:cs="Traditional Arabic" w:hint="cs"/>
          <w:sz w:val="36"/>
          <w:szCs w:val="36"/>
          <w:rtl/>
          <w:lang w:val="en-US" w:bidi="ar-DZ"/>
        </w:rPr>
        <w:t xml:space="preserve">حيث </w:t>
      </w:r>
      <w:r w:rsidRPr="002C4744">
        <w:rPr>
          <w:rFonts w:ascii="Calibri" w:eastAsia="Times New Roman" w:hAnsi="Calibri" w:cs="Traditional Arabic" w:hint="cs"/>
          <w:sz w:val="36"/>
          <w:szCs w:val="36"/>
          <w:rtl/>
          <w:lang w:val="en-US" w:bidi="ar-DZ"/>
        </w:rPr>
        <w:t>قام النقديون بصياغة مشروع نظري بكيفية تقترن</w:t>
      </w:r>
      <w:r w:rsidR="00480C70">
        <w:rPr>
          <w:rFonts w:ascii="Calibri" w:eastAsia="Times New Roman" w:hAnsi="Calibri" w:cs="Traditional Arabic"/>
          <w:sz w:val="36"/>
          <w:szCs w:val="36"/>
          <w:lang w:val="en-US" w:bidi="ar-DZ"/>
        </w:rPr>
        <w:t xml:space="preserve"> </w:t>
      </w:r>
      <w:r w:rsidRPr="002C4744">
        <w:rPr>
          <w:rFonts w:ascii="Calibri" w:eastAsia="Times New Roman" w:hAnsi="Calibri" w:cs="Traditional Arabic" w:hint="cs"/>
          <w:sz w:val="36"/>
          <w:szCs w:val="36"/>
          <w:rtl/>
          <w:lang w:val="en-US" w:bidi="ar-DZ"/>
        </w:rPr>
        <w:t>بواسطتها المعرفة ب</w:t>
      </w:r>
      <w:r>
        <w:rPr>
          <w:rFonts w:ascii="Calibri" w:eastAsia="Times New Roman" w:hAnsi="Calibri" w:cs="Traditional Arabic" w:hint="cs"/>
          <w:sz w:val="36"/>
          <w:szCs w:val="36"/>
          <w:rtl/>
          <w:lang w:val="en-US" w:bidi="ar-DZ"/>
        </w:rPr>
        <w:t>ال</w:t>
      </w:r>
      <w:r w:rsidRPr="002C4744">
        <w:rPr>
          <w:rFonts w:ascii="Calibri" w:eastAsia="Times New Roman" w:hAnsi="Calibri" w:cs="Traditional Arabic" w:hint="cs"/>
          <w:sz w:val="36"/>
          <w:szCs w:val="36"/>
          <w:rtl/>
          <w:lang w:val="en-US" w:bidi="ar-DZ"/>
        </w:rPr>
        <w:t>مص</w:t>
      </w:r>
      <w:r>
        <w:rPr>
          <w:rFonts w:ascii="Calibri" w:eastAsia="Times New Roman" w:hAnsi="Calibri" w:cs="Traditional Arabic" w:hint="cs"/>
          <w:sz w:val="36"/>
          <w:szCs w:val="36"/>
          <w:rtl/>
          <w:lang w:val="en-US" w:bidi="ar-DZ"/>
        </w:rPr>
        <w:t>ا</w:t>
      </w:r>
      <w:r w:rsidRPr="002C4744">
        <w:rPr>
          <w:rFonts w:ascii="Calibri" w:eastAsia="Times New Roman" w:hAnsi="Calibri" w:cs="Traditional Arabic" w:hint="cs"/>
          <w:sz w:val="36"/>
          <w:szCs w:val="36"/>
          <w:rtl/>
          <w:lang w:val="en-US" w:bidi="ar-DZ"/>
        </w:rPr>
        <w:t xml:space="preserve">لح </w:t>
      </w:r>
      <w:r>
        <w:rPr>
          <w:rFonts w:ascii="Calibri" w:eastAsia="Times New Roman" w:hAnsi="Calibri" w:cs="Traditional Arabic" w:hint="cs"/>
          <w:sz w:val="36"/>
          <w:szCs w:val="36"/>
          <w:rtl/>
          <w:lang w:val="en-US" w:bidi="ar-DZ"/>
        </w:rPr>
        <w:t>الم</w:t>
      </w:r>
      <w:r w:rsidRPr="002C4744">
        <w:rPr>
          <w:rFonts w:ascii="Calibri" w:eastAsia="Times New Roman" w:hAnsi="Calibri" w:cs="Traditional Arabic" w:hint="cs"/>
          <w:sz w:val="36"/>
          <w:szCs w:val="36"/>
          <w:rtl/>
          <w:lang w:val="en-US" w:bidi="ar-DZ"/>
        </w:rPr>
        <w:t>تصل</w:t>
      </w:r>
      <w:r>
        <w:rPr>
          <w:rFonts w:ascii="Calibri" w:eastAsia="Times New Roman" w:hAnsi="Calibri" w:cs="Traditional Arabic" w:hint="cs"/>
          <w:sz w:val="36"/>
          <w:szCs w:val="36"/>
          <w:rtl/>
          <w:lang w:val="en-US" w:bidi="ar-DZ"/>
        </w:rPr>
        <w:t>ة</w:t>
      </w:r>
      <w:r w:rsidRPr="002C4744">
        <w:rPr>
          <w:rFonts w:ascii="Calibri" w:eastAsia="Times New Roman" w:hAnsi="Calibri" w:cs="Traditional Arabic" w:hint="cs"/>
          <w:sz w:val="36"/>
          <w:szCs w:val="36"/>
          <w:rtl/>
          <w:lang w:val="en-US" w:bidi="ar-DZ"/>
        </w:rPr>
        <w:t xml:space="preserve"> بكرامة الإنسان وانعتاقه من أجل ترجمة هذا الهدف إلى واقع ملموس</w:t>
      </w:r>
      <w:r>
        <w:rPr>
          <w:rFonts w:ascii="Calibri" w:eastAsia="Times New Roman" w:hAnsi="Calibri" w:cs="Traditional Arabic" w:hint="cs"/>
          <w:sz w:val="36"/>
          <w:szCs w:val="36"/>
          <w:rtl/>
          <w:lang w:val="en-US" w:bidi="ar-DZ"/>
        </w:rPr>
        <w:t xml:space="preserve"> في السياسة الدولية؛ وهي رغم ذلك تواجه انتقادات تتعلق بطغيان الجانب الفلسفي على تحليلاتها</w:t>
      </w:r>
      <w:r w:rsidRPr="003672C7">
        <w:rPr>
          <w:rFonts w:ascii="Calibri" w:eastAsia="Times New Roman" w:hAnsi="Calibri" w:cs="Traditional Arabic" w:hint="cs"/>
          <w:sz w:val="36"/>
          <w:szCs w:val="36"/>
          <w:rtl/>
          <w:lang w:val="en-US"/>
        </w:rPr>
        <w:t xml:space="preserve">، وأن </w:t>
      </w:r>
      <w:r w:rsidRPr="003672C7">
        <w:rPr>
          <w:rFonts w:ascii="Calibri" w:eastAsia="Times New Roman" w:hAnsi="Calibri" w:cs="Traditional Arabic"/>
          <w:sz w:val="36"/>
          <w:szCs w:val="36"/>
          <w:rtl/>
          <w:lang w:val="en-US"/>
        </w:rPr>
        <w:t>المستوى المنهجي الموظف يكثر احتمالات التحليل ويصعب من احتمالات الترابط بين وحدات التحليل السبعة</w:t>
      </w:r>
      <w:r w:rsidRPr="003672C7">
        <w:rPr>
          <w:rFonts w:ascii="Calibri" w:eastAsia="Times New Roman" w:hAnsi="Calibri" w:cs="Traditional Arabic" w:hint="cs"/>
          <w:sz w:val="36"/>
          <w:szCs w:val="36"/>
          <w:rtl/>
          <w:lang w:val="en-US"/>
        </w:rPr>
        <w:t xml:space="preserve">، وأن </w:t>
      </w:r>
      <w:r>
        <w:rPr>
          <w:rFonts w:ascii="Calibri" w:eastAsia="Times New Roman" w:hAnsi="Calibri" w:cs="Traditional Arabic"/>
          <w:sz w:val="36"/>
          <w:szCs w:val="36"/>
          <w:rtl/>
          <w:lang w:val="en-US"/>
        </w:rPr>
        <w:t>المفهوم الموسع للأمن فت</w:t>
      </w:r>
      <w:r>
        <w:rPr>
          <w:rFonts w:ascii="Calibri" w:eastAsia="Times New Roman" w:hAnsi="Calibri" w:cs="Traditional Arabic" w:hint="cs"/>
          <w:sz w:val="36"/>
          <w:szCs w:val="36"/>
          <w:rtl/>
          <w:lang w:val="en-US"/>
        </w:rPr>
        <w:t>ح</w:t>
      </w:r>
      <w:r w:rsidRPr="003672C7">
        <w:rPr>
          <w:rFonts w:ascii="Calibri" w:eastAsia="Times New Roman" w:hAnsi="Calibri" w:cs="Traditional Arabic"/>
          <w:sz w:val="36"/>
          <w:szCs w:val="36"/>
          <w:rtl/>
          <w:lang w:val="en-US"/>
        </w:rPr>
        <w:t xml:space="preserve"> المجال لضم أي تهديد أو خطر مهما كان هامشي</w:t>
      </w:r>
      <w:r w:rsidRPr="003672C7">
        <w:rPr>
          <w:rFonts w:ascii="Calibri" w:eastAsia="Times New Roman" w:hAnsi="Calibri" w:cs="Traditional Arabic" w:hint="cs"/>
          <w:sz w:val="36"/>
          <w:szCs w:val="36"/>
          <w:rtl/>
          <w:lang w:val="en-US"/>
        </w:rPr>
        <w:t>ا</w:t>
      </w:r>
      <w:r w:rsidRPr="003672C7">
        <w:rPr>
          <w:rFonts w:ascii="Calibri" w:eastAsia="Times New Roman" w:hAnsi="Calibri" w:cs="Traditional Arabic"/>
          <w:sz w:val="36"/>
          <w:szCs w:val="36"/>
          <w:rtl/>
          <w:lang w:val="en-US"/>
        </w:rPr>
        <w:t xml:space="preserve"> مما جعل إمكانية</w:t>
      </w:r>
      <w:r w:rsidR="00480C70">
        <w:rPr>
          <w:rFonts w:ascii="Calibri" w:eastAsia="Times New Roman" w:hAnsi="Calibri" w:cs="Traditional Arabic"/>
          <w:sz w:val="36"/>
          <w:szCs w:val="36"/>
          <w:lang w:val="en-US"/>
        </w:rPr>
        <w:t xml:space="preserve"> </w:t>
      </w:r>
      <w:r w:rsidRPr="003672C7">
        <w:rPr>
          <w:rFonts w:ascii="Calibri" w:eastAsia="Times New Roman" w:hAnsi="Calibri" w:cs="Traditional Arabic"/>
          <w:sz w:val="36"/>
          <w:szCs w:val="36"/>
          <w:rtl/>
          <w:lang w:val="en-US"/>
        </w:rPr>
        <w:t>بناء تعريف دقيق وإجرائي صعب للغاية</w:t>
      </w:r>
      <w:r>
        <w:rPr>
          <w:rFonts w:ascii="Calibri" w:eastAsia="Times New Roman" w:hAnsi="Calibri" w:cs="Traditional Arabic" w:hint="cs"/>
          <w:sz w:val="36"/>
          <w:szCs w:val="36"/>
          <w:rtl/>
          <w:lang w:val="en-US"/>
        </w:rPr>
        <w:t>.</w:t>
      </w:r>
    </w:p>
    <w:sectPr w:rsidR="00F45E8A" w:rsidSect="003758DB">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450F" w:rsidRDefault="00F2450F" w:rsidP="00886CD3">
      <w:pPr>
        <w:spacing w:after="0" w:line="240" w:lineRule="auto"/>
      </w:pPr>
      <w:r>
        <w:separator/>
      </w:r>
    </w:p>
  </w:endnote>
  <w:endnote w:type="continuationSeparator" w:id="1">
    <w:p w:rsidR="00F2450F" w:rsidRDefault="00F2450F" w:rsidP="00886C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MT">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2914065"/>
      <w:docPartObj>
        <w:docPartGallery w:val="Page Numbers (Bottom of Page)"/>
        <w:docPartUnique/>
      </w:docPartObj>
    </w:sdtPr>
    <w:sdtContent>
      <w:p w:rsidR="00407575" w:rsidRDefault="003758DB">
        <w:pPr>
          <w:pStyle w:val="Pieddepage"/>
        </w:pPr>
        <w:r>
          <w:rPr>
            <w:noProof/>
            <w:lang w:eastAsia="zh-TW"/>
          </w:rPr>
          <w:pict>
            <v:group id="_x0000_s2049" style="position:absolute;margin-left:0;margin-top:0;width:34.4pt;height:56.45pt;z-index:251660288;mso-position-horizontal:lef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style="mso-next-textbox:#_x0000_s2051">
                  <w:txbxContent>
                    <w:p w:rsidR="00407575" w:rsidRDefault="003758DB">
                      <w:pPr>
                        <w:pStyle w:val="Pieddepage"/>
                        <w:jc w:val="center"/>
                        <w:rPr>
                          <w:sz w:val="16"/>
                          <w:szCs w:val="16"/>
                        </w:rPr>
                      </w:pPr>
                      <w:fldSimple w:instr=" PAGE    \* MERGEFORMAT ">
                        <w:r w:rsidR="00160946" w:rsidRPr="00160946">
                          <w:rPr>
                            <w:noProof/>
                            <w:sz w:val="16"/>
                            <w:szCs w:val="16"/>
                          </w:rPr>
                          <w:t>2</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450F" w:rsidRDefault="00F2450F" w:rsidP="00886CD3">
      <w:pPr>
        <w:spacing w:after="0" w:line="240" w:lineRule="auto"/>
      </w:pPr>
      <w:r>
        <w:separator/>
      </w:r>
    </w:p>
  </w:footnote>
  <w:footnote w:type="continuationSeparator" w:id="1">
    <w:p w:rsidR="00F2450F" w:rsidRDefault="00F2450F" w:rsidP="00886CD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5122"/>
    <o:shapelayout v:ext="edit">
      <o:idmap v:ext="edit" data="2"/>
      <o:rules v:ext="edit">
        <o:r id="V:Rule2" type="connector" idref="#_x0000_s2050"/>
      </o:rules>
    </o:shapelayout>
  </w:hdrShapeDefaults>
  <w:footnotePr>
    <w:footnote w:id="0"/>
    <w:footnote w:id="1"/>
  </w:footnotePr>
  <w:endnotePr>
    <w:endnote w:id="0"/>
    <w:endnote w:id="1"/>
  </w:endnotePr>
  <w:compat>
    <w:useFELayout/>
  </w:compat>
  <w:rsids>
    <w:rsidRoot w:val="00886CD3"/>
    <w:rsid w:val="00160946"/>
    <w:rsid w:val="003758DB"/>
    <w:rsid w:val="00407575"/>
    <w:rsid w:val="00480C70"/>
    <w:rsid w:val="00886CD3"/>
    <w:rsid w:val="00F2450F"/>
    <w:rsid w:val="00F45E8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8D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886CD3"/>
    <w:pPr>
      <w:spacing w:after="0" w:line="240" w:lineRule="auto"/>
      <w:jc w:val="right"/>
    </w:pPr>
    <w:rPr>
      <w:rFonts w:eastAsiaTheme="minorHAnsi"/>
      <w:sz w:val="20"/>
      <w:szCs w:val="20"/>
      <w:lang w:eastAsia="en-US"/>
    </w:rPr>
  </w:style>
  <w:style w:type="character" w:customStyle="1" w:styleId="NotedebasdepageCar">
    <w:name w:val="Note de bas de page Car"/>
    <w:basedOn w:val="Policepardfaut"/>
    <w:link w:val="Notedebasdepage"/>
    <w:uiPriority w:val="99"/>
    <w:rsid w:val="00886CD3"/>
    <w:rPr>
      <w:rFonts w:eastAsiaTheme="minorHAnsi"/>
      <w:sz w:val="20"/>
      <w:szCs w:val="20"/>
      <w:lang w:eastAsia="en-US"/>
    </w:rPr>
  </w:style>
  <w:style w:type="character" w:styleId="Appelnotedebasdep">
    <w:name w:val="footnote reference"/>
    <w:basedOn w:val="Policepardfaut"/>
    <w:uiPriority w:val="99"/>
    <w:semiHidden/>
    <w:rsid w:val="00886CD3"/>
    <w:rPr>
      <w:vertAlign w:val="superscript"/>
    </w:rPr>
  </w:style>
  <w:style w:type="paragraph" w:styleId="En-tte">
    <w:name w:val="header"/>
    <w:basedOn w:val="Normal"/>
    <w:link w:val="En-tteCar"/>
    <w:uiPriority w:val="99"/>
    <w:semiHidden/>
    <w:unhideWhenUsed/>
    <w:rsid w:val="00407575"/>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407575"/>
  </w:style>
  <w:style w:type="paragraph" w:styleId="Pieddepage">
    <w:name w:val="footer"/>
    <w:basedOn w:val="Normal"/>
    <w:link w:val="PieddepageCar"/>
    <w:uiPriority w:val="99"/>
    <w:unhideWhenUsed/>
    <w:rsid w:val="0040757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757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461</Words>
  <Characters>2537</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Chef cabinet</dc:creator>
  <cp:keywords/>
  <dc:description/>
  <cp:lastModifiedBy>Chef cabinet</cp:lastModifiedBy>
  <cp:revision>4</cp:revision>
  <dcterms:created xsi:type="dcterms:W3CDTF">2020-03-19T12:53:00Z</dcterms:created>
  <dcterms:modified xsi:type="dcterms:W3CDTF">2020-03-19T13:32:00Z</dcterms:modified>
</cp:coreProperties>
</file>