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31" w:rsidRPr="003E2831" w:rsidRDefault="003E2831" w:rsidP="003E2831">
      <w:pPr>
        <w:bidi/>
        <w:spacing w:before="240"/>
        <w:jc w:val="lowKashida"/>
        <w:rPr>
          <w:rFonts w:ascii="Arial" w:eastAsia="Times New Roman" w:hAnsi="Arial" w:cs="Traditional Arabic"/>
          <w:b/>
          <w:bCs/>
          <w:sz w:val="34"/>
          <w:szCs w:val="34"/>
          <w:rtl/>
          <w:lang w:val="en-US" w:bidi="ar-DZ"/>
        </w:rPr>
      </w:pPr>
      <w:r w:rsidRPr="003E2831">
        <w:rPr>
          <w:rFonts w:ascii="Arial" w:eastAsia="Times New Roman" w:hAnsi="Arial" w:cs="Traditional Arabic" w:hint="cs"/>
          <w:b/>
          <w:bCs/>
          <w:sz w:val="34"/>
          <w:szCs w:val="34"/>
          <w:rtl/>
          <w:lang w:val="en-US" w:bidi="ar-DZ"/>
        </w:rPr>
        <w:t>المحور الرابع</w:t>
      </w:r>
      <w:r w:rsidRPr="003E2831">
        <w:rPr>
          <w:rFonts w:ascii="Arial" w:eastAsia="Times New Roman" w:hAnsi="Arial" w:cs="Traditional Arabic"/>
          <w:b/>
          <w:bCs/>
          <w:sz w:val="34"/>
          <w:szCs w:val="34"/>
          <w:rtl/>
          <w:lang w:val="en-US" w:bidi="ar-DZ"/>
        </w:rPr>
        <w:t>: الصياغة الحركية لمفهوم الأمن</w:t>
      </w:r>
    </w:p>
    <w:p w:rsidR="003E2831" w:rsidRPr="003E2831" w:rsidRDefault="003E2831" w:rsidP="003E2831">
      <w:pPr>
        <w:bidi/>
        <w:spacing w:before="240"/>
        <w:ind w:firstLine="708"/>
        <w:jc w:val="lowKashida"/>
        <w:rPr>
          <w:rFonts w:ascii="Calibri" w:eastAsia="Times New Roman" w:hAnsi="Calibri" w:cs="Traditional Arabic"/>
          <w:sz w:val="34"/>
          <w:szCs w:val="34"/>
          <w:rtl/>
          <w:lang w:val="en-US"/>
        </w:rPr>
      </w:pPr>
      <w:r w:rsidRPr="003E2831">
        <w:rPr>
          <w:rFonts w:ascii="Calibri" w:eastAsia="Times New Roman" w:hAnsi="Calibri" w:cs="Traditional Arabic" w:hint="cs"/>
          <w:sz w:val="34"/>
          <w:szCs w:val="34"/>
          <w:rtl/>
          <w:lang w:val="en-US"/>
        </w:rPr>
        <w:t xml:space="preserve">جعل منحى التركيز على دور الدولة في صياغة وتحقيق الأمن أغلب الدراسات مثلما أشار إليه ماك سويني تتناول مستويين للأمن: </w:t>
      </w:r>
    </w:p>
    <w:p w:rsidR="003E2831" w:rsidRPr="003E2831" w:rsidRDefault="003E2831" w:rsidP="003E2831">
      <w:pPr>
        <w:bidi/>
        <w:spacing w:before="240"/>
        <w:jc w:val="lowKashida"/>
        <w:rPr>
          <w:rFonts w:ascii="Calibri" w:eastAsia="Times New Roman" w:hAnsi="Calibri" w:cs="Traditional Arabic"/>
          <w:sz w:val="34"/>
          <w:szCs w:val="34"/>
          <w:rtl/>
          <w:lang w:val="en-US"/>
        </w:rPr>
      </w:pPr>
      <w:r w:rsidRPr="003E2831">
        <w:rPr>
          <w:rFonts w:ascii="Calibri" w:eastAsia="Times New Roman" w:hAnsi="Calibri" w:cs="Traditional Arabic" w:hint="cs"/>
          <w:sz w:val="34"/>
          <w:szCs w:val="34"/>
          <w:u w:val="single"/>
          <w:rtl/>
          <w:lang w:val="en-US"/>
        </w:rPr>
        <w:t>المستوى الأول</w:t>
      </w:r>
      <w:r w:rsidRPr="003E2831">
        <w:rPr>
          <w:rFonts w:ascii="Calibri" w:eastAsia="Times New Roman" w:hAnsi="Calibri" w:cs="Traditional Arabic" w:hint="cs"/>
          <w:sz w:val="34"/>
          <w:szCs w:val="34"/>
          <w:rtl/>
          <w:lang w:val="en-US"/>
        </w:rPr>
        <w:t>: وهو الأمن القومي الذي يقصد به أمن الدولة القومية، وقد يستعمل للدلالة على مصطلح الأمن المحلي، وينسب هذا المستوى إلى الاتجاه العام الذي يرى بأن الأمن القومي لا يتحقق إلا في ظل الدولة العالمية ( الإمبراطورية في الفكر السياسي التقليدي)، إلا أن هذا الاتجاه يؤخذ عليه النظرة الاستعمارية المبنية على فكرة الدولة القومية، لأن أي زيادة في أمن الدولة العالمية هو في الواقع إنقاص من أمن دول أخرى.</w:t>
      </w:r>
    </w:p>
    <w:p w:rsidR="003E2831" w:rsidRPr="003E2831" w:rsidRDefault="003E2831" w:rsidP="003E2831">
      <w:pPr>
        <w:bidi/>
        <w:spacing w:before="240"/>
        <w:jc w:val="lowKashida"/>
        <w:rPr>
          <w:rFonts w:ascii="Calibri" w:eastAsia="Times New Roman" w:hAnsi="Calibri" w:cs="Traditional Arabic"/>
          <w:sz w:val="34"/>
          <w:szCs w:val="34"/>
          <w:rtl/>
          <w:lang w:val="en-US"/>
        </w:rPr>
      </w:pPr>
      <w:r w:rsidRPr="003E2831">
        <w:rPr>
          <w:rFonts w:ascii="Calibri" w:eastAsia="Times New Roman" w:hAnsi="Calibri" w:cs="Traditional Arabic" w:hint="cs"/>
          <w:sz w:val="34"/>
          <w:szCs w:val="34"/>
          <w:rtl/>
          <w:lang w:val="en-US"/>
        </w:rPr>
        <w:tab/>
      </w:r>
      <w:r w:rsidRPr="003E2831">
        <w:rPr>
          <w:rFonts w:ascii="Calibri" w:eastAsia="Times New Roman" w:hAnsi="Calibri" w:cs="Traditional Arabic" w:hint="cs"/>
          <w:sz w:val="34"/>
          <w:szCs w:val="34"/>
          <w:u w:val="single"/>
          <w:rtl/>
          <w:lang w:val="en-US"/>
        </w:rPr>
        <w:t>المستوى الثاني</w:t>
      </w:r>
      <w:r w:rsidRPr="003E2831">
        <w:rPr>
          <w:rFonts w:ascii="Calibri" w:eastAsia="Times New Roman" w:hAnsi="Calibri" w:cs="Traditional Arabic" w:hint="cs"/>
          <w:sz w:val="34"/>
          <w:szCs w:val="34"/>
          <w:rtl/>
          <w:lang w:val="en-US"/>
        </w:rPr>
        <w:t>: وهو الأمن الجماعي، وينظمه ميثاق الأمم المتحدة، وقبله عصبة الأمـم، وهو مسؤولية دولية جماعية أكثر منه مسؤولية قومية أو إقليمية، ويعزى هذا المستوى إلى الاتجاه العام المثالي الذي يرى الأمن في صورة الجمعية أو المجتمع العالمي، حيث لا ترى ضرورة لوجود الدولة وإنما يفهم الأمن في إطار انضمام الفرد الاختياري إلى هذه الجمعية العالمية أو ما يعرف بانتقال الولاء إلى سلطة فوق قومية.</w:t>
      </w:r>
    </w:p>
    <w:p w:rsidR="003E2831" w:rsidRPr="003E2831" w:rsidRDefault="003E2831" w:rsidP="003E2831">
      <w:pPr>
        <w:bidi/>
        <w:spacing w:before="240"/>
        <w:jc w:val="lowKashida"/>
        <w:rPr>
          <w:rFonts w:ascii="Calibri" w:eastAsia="Times New Roman" w:hAnsi="Calibri" w:cs="Traditional Arabic"/>
          <w:b/>
          <w:bCs/>
          <w:sz w:val="34"/>
          <w:szCs w:val="34"/>
          <w:rtl/>
          <w:lang w:bidi="ar-DZ"/>
        </w:rPr>
      </w:pPr>
      <w:r w:rsidRPr="003E2831">
        <w:rPr>
          <w:rFonts w:ascii="Calibri" w:eastAsia="Times New Roman" w:hAnsi="Calibri" w:cs="Traditional Arabic" w:hint="cs"/>
          <w:b/>
          <w:bCs/>
          <w:sz w:val="34"/>
          <w:szCs w:val="34"/>
          <w:rtl/>
          <w:lang w:val="en-US"/>
        </w:rPr>
        <w:t>الفرع الأول: الأمن الجماعي:</w:t>
      </w:r>
    </w:p>
    <w:p w:rsidR="003E2831" w:rsidRPr="003E2831" w:rsidRDefault="003E2831" w:rsidP="003E2831">
      <w:pPr>
        <w:bidi/>
        <w:spacing w:before="240"/>
        <w:ind w:firstLine="360"/>
        <w:jc w:val="lowKashida"/>
        <w:rPr>
          <w:rFonts w:ascii="Calibri" w:eastAsia="Times New Roman" w:hAnsi="Calibri" w:cs="Traditional Arabic"/>
          <w:sz w:val="34"/>
          <w:szCs w:val="34"/>
          <w:lang w:val="en-US"/>
        </w:rPr>
      </w:pPr>
      <w:r w:rsidRPr="003E2831">
        <w:rPr>
          <w:rFonts w:ascii="Calibri" w:eastAsia="Times New Roman" w:hAnsi="Calibri" w:cs="Traditional Arabic" w:hint="cs"/>
          <w:sz w:val="34"/>
          <w:szCs w:val="34"/>
          <w:rtl/>
          <w:lang w:val="en-US"/>
        </w:rPr>
        <w:t>يتضح أن فكرة الأمن الجماعي مرتبطة عضويا بفكرة العدوان، وبخاصة منع حدوث العدوان، فالأمن الجماعي نظام يهدف قبل كل شيء إلى الحيلولة دون تغيير الواقع الدولي أو الإخلال بأوضاعه وعلاقاته أو تبديلها في خدمة مصالح دولة على حساب غيرها من الدول، وبالرغم من أنه لا ينفي تعارض وتناقض المصالح والسياسات الدولية، إلا أنه ينكر استعمال السلاح والعنف والقوة كأسلوب لحل الصراعات الدولية، ويركز أكثر على الوسائل السلمية.</w:t>
      </w:r>
    </w:p>
    <w:p w:rsidR="003E2831" w:rsidRPr="003E2831" w:rsidRDefault="003E2831" w:rsidP="003E2831">
      <w:pPr>
        <w:bidi/>
        <w:spacing w:before="240"/>
        <w:ind w:firstLine="360"/>
        <w:jc w:val="lowKashida"/>
        <w:rPr>
          <w:rFonts w:ascii="Calibri" w:eastAsia="Times New Roman" w:hAnsi="Calibri" w:cs="Traditional Arabic"/>
          <w:sz w:val="34"/>
          <w:szCs w:val="34"/>
          <w:rtl/>
          <w:lang w:bidi="ar-DZ"/>
        </w:rPr>
      </w:pPr>
      <w:r w:rsidRPr="003E2831">
        <w:rPr>
          <w:rFonts w:ascii="Calibri" w:eastAsia="Times New Roman" w:hAnsi="Calibri" w:cs="Traditional Arabic" w:hint="cs"/>
          <w:sz w:val="34"/>
          <w:szCs w:val="34"/>
          <w:rtl/>
          <w:lang w:val="en-US" w:bidi="ar-DZ"/>
        </w:rPr>
        <w:t xml:space="preserve">إذ يعرفه غولدشتاين </w:t>
      </w:r>
      <w:r w:rsidRPr="003E2831">
        <w:rPr>
          <w:rFonts w:asciiTheme="majorBidi" w:eastAsia="Times New Roman" w:hAnsiTheme="majorBidi" w:cstheme="majorBidi"/>
          <w:sz w:val="34"/>
          <w:szCs w:val="34"/>
          <w:lang w:bidi="ar-DZ"/>
        </w:rPr>
        <w:t>Goldstein</w:t>
      </w:r>
      <w:r w:rsidRPr="003E2831">
        <w:rPr>
          <w:rFonts w:ascii="Calibri" w:eastAsia="Times New Roman" w:hAnsi="Calibri" w:cs="Traditional Arabic" w:hint="cs"/>
          <w:sz w:val="34"/>
          <w:szCs w:val="34"/>
          <w:rtl/>
          <w:lang w:bidi="ar-DZ"/>
        </w:rPr>
        <w:t xml:space="preserve"> بأنه:"تشكيل تحالف موسع يضم أغلب الفاعلين الأساسيين في النظام الدولي بقصد مواجهة أي فاعل آخر"؛ ويتم تحقيقه حين توفر ثلاثة شروط:</w:t>
      </w:r>
    </w:p>
    <w:p w:rsidR="003E2831" w:rsidRPr="003E2831" w:rsidRDefault="003E2831" w:rsidP="003E2831">
      <w:pPr>
        <w:pStyle w:val="Paragraphedeliste"/>
        <w:numPr>
          <w:ilvl w:val="0"/>
          <w:numId w:val="1"/>
        </w:numPr>
        <w:bidi/>
        <w:spacing w:before="240"/>
        <w:jc w:val="lowKashida"/>
        <w:rPr>
          <w:rFonts w:eastAsia="Times New Roman" w:cs="Traditional Arabic"/>
          <w:sz w:val="34"/>
          <w:szCs w:val="34"/>
          <w:lang w:bidi="ar-DZ"/>
        </w:rPr>
      </w:pPr>
      <w:r w:rsidRPr="003E2831">
        <w:rPr>
          <w:rFonts w:eastAsia="Times New Roman" w:cs="Traditional Arabic" w:hint="cs"/>
          <w:sz w:val="34"/>
          <w:szCs w:val="34"/>
          <w:rtl/>
          <w:lang w:bidi="ar-DZ"/>
        </w:rPr>
        <w:t>تخلي الدول عن استخدام القوة العسكرية في سياق محاولاتها تغيير الوضع القائم.</w:t>
      </w:r>
    </w:p>
    <w:p w:rsidR="003E2831" w:rsidRPr="003E2831" w:rsidRDefault="003E2831" w:rsidP="003E2831">
      <w:pPr>
        <w:pStyle w:val="Paragraphedeliste"/>
        <w:numPr>
          <w:ilvl w:val="0"/>
          <w:numId w:val="1"/>
        </w:numPr>
        <w:bidi/>
        <w:spacing w:before="240"/>
        <w:jc w:val="lowKashida"/>
        <w:rPr>
          <w:rFonts w:eastAsia="Times New Roman" w:cs="Traditional Arabic"/>
          <w:sz w:val="34"/>
          <w:szCs w:val="34"/>
          <w:lang w:bidi="ar-DZ"/>
        </w:rPr>
      </w:pPr>
      <w:r w:rsidRPr="003E2831">
        <w:rPr>
          <w:rFonts w:eastAsia="Times New Roman" w:cs="Traditional Arabic" w:hint="cs"/>
          <w:sz w:val="34"/>
          <w:szCs w:val="34"/>
          <w:rtl/>
          <w:lang w:bidi="ar-DZ"/>
        </w:rPr>
        <w:lastRenderedPageBreak/>
        <w:t>توسيع مقاربة الدول لمصالحها الوطنية بحيث تشمل مصالج الجماعة الدولية.</w:t>
      </w:r>
    </w:p>
    <w:p w:rsidR="003E2831" w:rsidRPr="003E2831" w:rsidRDefault="003E2831" w:rsidP="003E2831">
      <w:pPr>
        <w:pStyle w:val="Paragraphedeliste"/>
        <w:numPr>
          <w:ilvl w:val="0"/>
          <w:numId w:val="1"/>
        </w:numPr>
        <w:bidi/>
        <w:spacing w:before="240"/>
        <w:jc w:val="lowKashida"/>
        <w:rPr>
          <w:rFonts w:eastAsia="Times New Roman" w:cs="Traditional Arabic"/>
          <w:sz w:val="34"/>
          <w:szCs w:val="34"/>
          <w:lang w:bidi="ar-DZ"/>
        </w:rPr>
      </w:pPr>
      <w:r w:rsidRPr="003E2831">
        <w:rPr>
          <w:rFonts w:eastAsia="Times New Roman" w:cs="Traditional Arabic" w:hint="cs"/>
          <w:sz w:val="34"/>
          <w:szCs w:val="34"/>
          <w:rtl/>
          <w:lang w:bidi="ar-DZ"/>
        </w:rPr>
        <w:t>إحلال الثقة والنوايا الحسنة بين أعضاء الجماعة الدولية عوض الخوف والشك.</w:t>
      </w:r>
    </w:p>
    <w:p w:rsidR="003E2831" w:rsidRPr="003E2831" w:rsidRDefault="003E2831" w:rsidP="003E2831">
      <w:pPr>
        <w:bidi/>
        <w:spacing w:before="240"/>
        <w:ind w:firstLine="360"/>
        <w:jc w:val="lowKashida"/>
        <w:rPr>
          <w:rFonts w:ascii="Calibri" w:eastAsia="Times New Roman" w:hAnsi="Calibri" w:cs="Traditional Arabic"/>
          <w:sz w:val="34"/>
          <w:szCs w:val="34"/>
          <w:rtl/>
          <w:lang w:val="en-US"/>
        </w:rPr>
      </w:pPr>
      <w:r w:rsidRPr="003E2831">
        <w:rPr>
          <w:rFonts w:ascii="Calibri" w:eastAsia="Times New Roman" w:hAnsi="Calibri" w:cs="Traditional Arabic" w:hint="cs"/>
          <w:sz w:val="34"/>
          <w:szCs w:val="34"/>
          <w:rtl/>
          <w:lang w:val="en-US"/>
        </w:rPr>
        <w:t>وتعرفه الموسوعة السياسية بأنه: "نظام يعمل به بين الدول الأعضاء في الأمم المتحدة بوحي من ميثاقها بهدف الحرص على الأمن والسلام الدوليين وفض المنازعات بالطرق السليمة على أساس اعتبار أن أمن كل دولة وسلامتها الإقليمية من الأمور التي تضمها كل الدول".</w:t>
      </w:r>
    </w:p>
    <w:p w:rsidR="003E2831" w:rsidRPr="003E2831" w:rsidRDefault="003E2831" w:rsidP="003E2831">
      <w:pPr>
        <w:bidi/>
        <w:spacing w:before="240"/>
        <w:ind w:firstLine="708"/>
        <w:jc w:val="lowKashida"/>
        <w:rPr>
          <w:rFonts w:ascii="Calibri" w:eastAsia="Times New Roman" w:hAnsi="Calibri" w:cs="Traditional Arabic"/>
          <w:sz w:val="34"/>
          <w:szCs w:val="34"/>
          <w:rtl/>
          <w:lang w:val="en-US"/>
        </w:rPr>
      </w:pPr>
      <w:r w:rsidRPr="003E2831">
        <w:rPr>
          <w:rFonts w:ascii="Calibri" w:eastAsia="Times New Roman" w:hAnsi="Calibri" w:cs="Traditional Arabic" w:hint="cs"/>
          <w:sz w:val="34"/>
          <w:szCs w:val="34"/>
          <w:rtl/>
          <w:lang w:val="en-US"/>
        </w:rPr>
        <w:t>ويعرفه الغنيمي بأنه: "النظام الذي تتحمل فيه الجماعة الدولية مسؤولية حماية كل عضو فيها والسهر على أمنه من الاعتداء".</w:t>
      </w:r>
    </w:p>
    <w:p w:rsidR="003E2831" w:rsidRPr="003E2831" w:rsidRDefault="003E2831" w:rsidP="003E2831">
      <w:pPr>
        <w:bidi/>
        <w:spacing w:before="240"/>
        <w:ind w:firstLine="708"/>
        <w:jc w:val="lowKashida"/>
        <w:rPr>
          <w:rFonts w:ascii="Calibri" w:eastAsia="Times New Roman" w:hAnsi="Calibri" w:cs="Traditional Arabic"/>
          <w:sz w:val="34"/>
          <w:szCs w:val="34"/>
          <w:rtl/>
          <w:lang w:val="en-US"/>
        </w:rPr>
      </w:pPr>
      <w:r w:rsidRPr="003E2831">
        <w:rPr>
          <w:rFonts w:ascii="Calibri" w:eastAsia="Times New Roman" w:hAnsi="Calibri" w:cs="Traditional Arabic" w:hint="cs"/>
          <w:sz w:val="34"/>
          <w:szCs w:val="34"/>
          <w:rtl/>
          <w:lang w:val="en-US"/>
        </w:rPr>
        <w:t>كما يشترك اسماعيل صبري مقلد ومفيد شهاب في تقسيم فكرة الأمن الجماعي إلى شقين: أحدهما وقائي يتمثل في إجراءات وقائية تحول دون وقوع العدوان، والآخر علاجي أو إجرائي يتمثل في إجراءات لاحقة لوقوع العدوان مثل إيقافه ومعاقبة المعتدي.</w:t>
      </w:r>
    </w:p>
    <w:p w:rsidR="003E2831" w:rsidRPr="003E2831" w:rsidRDefault="003E2831" w:rsidP="003E2831">
      <w:pPr>
        <w:bidi/>
        <w:spacing w:before="240"/>
        <w:ind w:firstLine="708"/>
        <w:jc w:val="lowKashida"/>
        <w:rPr>
          <w:rFonts w:ascii="Calibri" w:eastAsia="Times New Roman" w:hAnsi="Calibri" w:cs="Traditional Arabic"/>
          <w:sz w:val="34"/>
          <w:szCs w:val="34"/>
          <w:rtl/>
          <w:lang w:val="en-US"/>
        </w:rPr>
      </w:pPr>
      <w:r w:rsidRPr="003E2831">
        <w:rPr>
          <w:rFonts w:ascii="Calibri" w:eastAsia="Times New Roman" w:hAnsi="Calibri" w:cs="Traditional Arabic" w:hint="cs"/>
          <w:sz w:val="34"/>
          <w:szCs w:val="34"/>
          <w:rtl/>
          <w:lang w:val="en-US"/>
        </w:rPr>
        <w:t>والأرضية المشتركة التي تلتقي فيها مختلف التعاريف المعطاة للأمن الجماعي هي أنّه يقوم على منع استخدام القوة كمبدأ أساسي</w:t>
      </w:r>
      <w:r>
        <w:rPr>
          <w:rFonts w:ascii="Calibri" w:eastAsia="Times New Roman" w:hAnsi="Calibri" w:cs="Traditional Arabic"/>
          <w:sz w:val="34"/>
          <w:szCs w:val="34"/>
          <w:lang w:val="en-US"/>
        </w:rPr>
        <w:t xml:space="preserve"> </w:t>
      </w:r>
      <w:r w:rsidRPr="003E2831">
        <w:rPr>
          <w:rFonts w:ascii="Calibri" w:eastAsia="Times New Roman" w:hAnsi="Calibri" w:cs="Traditional Arabic" w:hint="cs"/>
          <w:sz w:val="34"/>
          <w:szCs w:val="34"/>
          <w:rtl/>
          <w:lang w:val="en-US"/>
        </w:rPr>
        <w:t>في العلاقات الدولية، وذلك من أجل تحقيق أمن مجموعة من الدول بوسائل تشارك بها كل الدول، وهو ما يتأكد عبر الصيرورة التاريخية لمفهوم الأمن الجماعي بدءا من عهد عصبة الأمم مرورا بمشروع معاهدة المساعدة المتبادلة</w:t>
      </w:r>
      <w:r>
        <w:rPr>
          <w:rFonts w:asciiTheme="majorBidi" w:eastAsia="Times New Roman" w:hAnsiTheme="majorBidi" w:cstheme="majorBidi"/>
          <w:sz w:val="28"/>
          <w:szCs w:val="28"/>
          <w:lang w:val="en-US"/>
        </w:rPr>
        <w:t xml:space="preserve"> </w:t>
      </w:r>
      <w:r w:rsidRPr="003E2831">
        <w:rPr>
          <w:rFonts w:asciiTheme="majorBidi" w:eastAsia="Times New Roman" w:hAnsiTheme="majorBidi" w:cstheme="majorBidi"/>
          <w:sz w:val="28"/>
          <w:szCs w:val="28"/>
          <w:lang w:val="en-US"/>
        </w:rPr>
        <w:t>le</w:t>
      </w:r>
      <w:r w:rsidRPr="003E2831">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sz w:val="28"/>
          <w:szCs w:val="28"/>
          <w:lang w:val="en-US"/>
        </w:rPr>
        <w:t>traité</w:t>
      </w:r>
      <w:r w:rsidRPr="003E2831">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sz w:val="28"/>
          <w:szCs w:val="28"/>
          <w:lang w:val="en-US"/>
        </w:rPr>
        <w:t>d'assistance</w:t>
      </w:r>
      <w:r w:rsidRPr="003E2831">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sz w:val="28"/>
          <w:szCs w:val="28"/>
          <w:lang w:val="en-US"/>
        </w:rPr>
        <w:t>mutuelle</w:t>
      </w:r>
      <w:r>
        <w:rPr>
          <w:rFonts w:asciiTheme="majorBidi" w:eastAsia="Times New Roman" w:hAnsiTheme="majorBidi" w:cstheme="majorBidi"/>
          <w:sz w:val="28"/>
          <w:szCs w:val="28"/>
          <w:lang w:val="en-US"/>
        </w:rPr>
        <w:t xml:space="preserve"> </w:t>
      </w:r>
      <w:r w:rsidRPr="003E2831">
        <w:rPr>
          <w:rFonts w:asciiTheme="majorBidi" w:eastAsia="Times New Roman" w:hAnsiTheme="majorBidi" w:cstheme="majorBidi" w:hint="cs"/>
          <w:sz w:val="34"/>
          <w:szCs w:val="34"/>
          <w:rtl/>
          <w:lang w:val="en-US"/>
        </w:rPr>
        <w:t>(</w:t>
      </w:r>
      <w:r w:rsidRPr="003E2831">
        <w:rPr>
          <w:rFonts w:asciiTheme="majorBidi" w:eastAsia="Times New Roman" w:hAnsiTheme="majorBidi" w:cstheme="majorBidi" w:hint="cs"/>
          <w:sz w:val="28"/>
          <w:szCs w:val="28"/>
          <w:rtl/>
          <w:lang w:val="en-US"/>
        </w:rPr>
        <w:t>1923</w:t>
      </w:r>
      <w:r w:rsidRPr="003E2831">
        <w:rPr>
          <w:rFonts w:asciiTheme="majorBidi" w:eastAsia="Times New Roman" w:hAnsiTheme="majorBidi" w:cstheme="majorBidi" w:hint="cs"/>
          <w:sz w:val="34"/>
          <w:szCs w:val="34"/>
          <w:rtl/>
          <w:lang w:val="en-US"/>
        </w:rPr>
        <w:t>)</w:t>
      </w:r>
      <w:r w:rsidRPr="003E2831">
        <w:rPr>
          <w:rFonts w:ascii="Calibri" w:eastAsia="Times New Roman" w:hAnsi="Calibri" w:cs="Traditional Arabic" w:hint="cs"/>
          <w:sz w:val="34"/>
          <w:szCs w:val="34"/>
          <w:rtl/>
          <w:lang w:val="en-US"/>
        </w:rPr>
        <w:t>، بروتوكول جنيف</w:t>
      </w:r>
      <w:r>
        <w:rPr>
          <w:rFonts w:asciiTheme="majorBidi" w:eastAsia="Times New Roman" w:hAnsiTheme="majorBidi" w:cstheme="majorBidi"/>
          <w:sz w:val="28"/>
          <w:szCs w:val="28"/>
          <w:lang w:val="en-US"/>
        </w:rPr>
        <w:t xml:space="preserve">  le </w:t>
      </w:r>
      <w:r w:rsidRPr="003E2831">
        <w:rPr>
          <w:rFonts w:asciiTheme="majorBidi" w:eastAsia="Times New Roman" w:hAnsiTheme="majorBidi" w:cstheme="majorBidi"/>
          <w:sz w:val="28"/>
          <w:szCs w:val="28"/>
          <w:lang w:val="en-US"/>
        </w:rPr>
        <w:t>protocole</w:t>
      </w:r>
      <w:r>
        <w:rPr>
          <w:rFonts w:asciiTheme="majorBidi" w:eastAsia="Times New Roman" w:hAnsiTheme="majorBidi" w:cstheme="majorBidi"/>
          <w:sz w:val="28"/>
          <w:szCs w:val="28"/>
          <w:lang w:val="en-US"/>
        </w:rPr>
        <w:t xml:space="preserve"> </w:t>
      </w:r>
      <w:r w:rsidRPr="003E2831">
        <w:rPr>
          <w:rFonts w:asciiTheme="majorBidi" w:eastAsia="Times New Roman" w:hAnsiTheme="majorBidi" w:cstheme="majorBidi"/>
          <w:sz w:val="28"/>
          <w:szCs w:val="28"/>
          <w:lang w:val="en-US"/>
        </w:rPr>
        <w:t>de</w:t>
      </w:r>
      <w:r>
        <w:rPr>
          <w:rFonts w:asciiTheme="majorBidi" w:eastAsia="Times New Roman" w:hAnsiTheme="majorBidi" w:cstheme="majorBidi"/>
          <w:sz w:val="28"/>
          <w:szCs w:val="28"/>
          <w:lang w:val="en-US"/>
        </w:rPr>
        <w:t xml:space="preserve"> </w:t>
      </w:r>
      <w:r w:rsidRPr="003E2831">
        <w:rPr>
          <w:rFonts w:asciiTheme="majorBidi" w:eastAsia="Times New Roman" w:hAnsiTheme="majorBidi" w:cstheme="majorBidi"/>
          <w:sz w:val="28"/>
          <w:szCs w:val="28"/>
          <w:lang w:val="en-US"/>
        </w:rPr>
        <w:t>Genève</w:t>
      </w:r>
      <w:r w:rsidRPr="003E2831">
        <w:rPr>
          <w:rFonts w:asciiTheme="majorBidi" w:eastAsia="Times New Roman" w:hAnsiTheme="majorBidi" w:cstheme="majorBidi"/>
          <w:sz w:val="34"/>
          <w:szCs w:val="34"/>
          <w:lang w:val="en-US"/>
        </w:rPr>
        <w:t xml:space="preserve"> </w:t>
      </w:r>
      <w:r>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hint="cs"/>
          <w:sz w:val="34"/>
          <w:szCs w:val="34"/>
          <w:rtl/>
          <w:lang w:val="en-US"/>
        </w:rPr>
        <w:t>(</w:t>
      </w:r>
      <w:r w:rsidRPr="003E2831">
        <w:rPr>
          <w:rFonts w:asciiTheme="majorBidi" w:eastAsia="Times New Roman" w:hAnsiTheme="majorBidi" w:cstheme="majorBidi" w:hint="cs"/>
          <w:sz w:val="28"/>
          <w:szCs w:val="28"/>
          <w:rtl/>
          <w:lang w:val="en-US"/>
        </w:rPr>
        <w:t>1924</w:t>
      </w:r>
      <w:r w:rsidRPr="003E2831">
        <w:rPr>
          <w:rFonts w:asciiTheme="majorBidi" w:eastAsia="Times New Roman" w:hAnsiTheme="majorBidi" w:cstheme="majorBidi" w:hint="cs"/>
          <w:sz w:val="34"/>
          <w:szCs w:val="34"/>
          <w:rtl/>
          <w:lang w:val="en-US"/>
        </w:rPr>
        <w:t>)</w:t>
      </w:r>
      <w:r w:rsidRPr="003E2831">
        <w:rPr>
          <w:rFonts w:ascii="Calibri" w:eastAsia="Times New Roman" w:hAnsi="Calibri" w:cs="Traditional Arabic" w:hint="cs"/>
          <w:sz w:val="34"/>
          <w:szCs w:val="34"/>
          <w:rtl/>
          <w:lang w:val="en-US"/>
        </w:rPr>
        <w:t>،ميثاق لوكارن</w:t>
      </w:r>
      <w:r w:rsidRPr="003E2831">
        <w:rPr>
          <w:rFonts w:ascii="Calibri" w:eastAsia="Times New Roman" w:hAnsi="Calibri" w:cs="Traditional Arabic" w:hint="eastAsia"/>
          <w:sz w:val="34"/>
          <w:szCs w:val="34"/>
          <w:rtl/>
          <w:lang w:val="en-US"/>
        </w:rPr>
        <w:t>و</w:t>
      </w:r>
      <w:r>
        <w:rPr>
          <w:rFonts w:asciiTheme="majorBidi" w:eastAsia="Times New Roman" w:hAnsiTheme="majorBidi" w:cstheme="majorBidi"/>
          <w:sz w:val="28"/>
          <w:szCs w:val="28"/>
          <w:lang w:val="en-US"/>
        </w:rPr>
        <w:t xml:space="preserve"> </w:t>
      </w:r>
      <w:r w:rsidRPr="003E2831">
        <w:rPr>
          <w:rFonts w:asciiTheme="majorBidi" w:eastAsia="Times New Roman" w:hAnsiTheme="majorBidi" w:cstheme="majorBidi"/>
          <w:sz w:val="28"/>
          <w:szCs w:val="28"/>
          <w:lang w:val="en-US"/>
        </w:rPr>
        <w:t>le</w:t>
      </w:r>
      <w:r w:rsidRPr="003E2831">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sz w:val="28"/>
          <w:szCs w:val="28"/>
          <w:lang w:val="en-US"/>
        </w:rPr>
        <w:t>Traité</w:t>
      </w:r>
      <w:r w:rsidRPr="003E2831">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sz w:val="28"/>
          <w:szCs w:val="28"/>
          <w:lang w:val="en-US"/>
        </w:rPr>
        <w:t>de</w:t>
      </w:r>
      <w:r w:rsidRPr="003E2831">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sz w:val="28"/>
          <w:szCs w:val="28"/>
          <w:lang w:val="en-US"/>
        </w:rPr>
        <w:t>Locarno</w:t>
      </w:r>
      <w:r>
        <w:rPr>
          <w:rFonts w:asciiTheme="majorBidi" w:eastAsia="Times New Roman" w:hAnsiTheme="majorBidi" w:cstheme="majorBidi"/>
          <w:sz w:val="28"/>
          <w:szCs w:val="28"/>
          <w:lang w:val="en-US"/>
        </w:rPr>
        <w:t xml:space="preserve"> </w:t>
      </w:r>
      <w:r w:rsidRPr="003E2831">
        <w:rPr>
          <w:rFonts w:asciiTheme="majorBidi" w:eastAsia="Times New Roman" w:hAnsiTheme="majorBidi" w:cstheme="majorBidi" w:hint="cs"/>
          <w:sz w:val="34"/>
          <w:szCs w:val="34"/>
          <w:rtl/>
          <w:lang w:val="en-US"/>
        </w:rPr>
        <w:t>(</w:t>
      </w:r>
      <w:r w:rsidRPr="003E2831">
        <w:rPr>
          <w:rFonts w:asciiTheme="majorBidi" w:eastAsia="Times New Roman" w:hAnsiTheme="majorBidi" w:cstheme="majorBidi" w:hint="cs"/>
          <w:sz w:val="28"/>
          <w:szCs w:val="28"/>
          <w:rtl/>
          <w:lang w:val="en-US"/>
        </w:rPr>
        <w:t>1925</w:t>
      </w:r>
      <w:r w:rsidRPr="003E2831">
        <w:rPr>
          <w:rFonts w:asciiTheme="majorBidi" w:eastAsia="Times New Roman" w:hAnsiTheme="majorBidi" w:cstheme="majorBidi" w:hint="cs"/>
          <w:sz w:val="34"/>
          <w:szCs w:val="34"/>
          <w:rtl/>
          <w:lang w:val="en-US"/>
        </w:rPr>
        <w:t>)</w:t>
      </w:r>
      <w:r w:rsidRPr="003E2831">
        <w:rPr>
          <w:rFonts w:ascii="Calibri" w:eastAsia="Times New Roman" w:hAnsi="Calibri" w:cs="Traditional Arabic" w:hint="cs"/>
          <w:sz w:val="34"/>
          <w:szCs w:val="34"/>
          <w:rtl/>
          <w:lang w:val="en-US"/>
        </w:rPr>
        <w:t xml:space="preserve">، ميثاق بريان-كيلوغ </w:t>
      </w:r>
      <w:r w:rsidRPr="003E2831">
        <w:rPr>
          <w:rFonts w:asciiTheme="majorBidi" w:eastAsia="Times New Roman" w:hAnsiTheme="majorBidi" w:cstheme="majorBidi"/>
          <w:sz w:val="28"/>
          <w:szCs w:val="28"/>
          <w:lang w:val="en-US"/>
        </w:rPr>
        <w:t>Le</w:t>
      </w:r>
      <w:r w:rsidRPr="003E2831">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sz w:val="28"/>
          <w:szCs w:val="28"/>
          <w:lang w:val="en-US"/>
        </w:rPr>
        <w:t>pacte</w:t>
      </w:r>
      <w:r w:rsidRPr="003E2831">
        <w:rPr>
          <w:rFonts w:asciiTheme="majorBidi" w:eastAsia="Times New Roman" w:hAnsiTheme="majorBidi" w:cstheme="majorBidi"/>
          <w:sz w:val="34"/>
          <w:szCs w:val="34"/>
          <w:lang w:val="en-US"/>
        </w:rPr>
        <w:t xml:space="preserve"> </w:t>
      </w:r>
      <w:r w:rsidRPr="003E2831">
        <w:rPr>
          <w:rFonts w:asciiTheme="majorBidi" w:eastAsia="Times New Roman" w:hAnsiTheme="majorBidi" w:cstheme="majorBidi"/>
          <w:sz w:val="28"/>
          <w:szCs w:val="28"/>
          <w:lang w:val="en-US"/>
        </w:rPr>
        <w:t>Briand</w:t>
      </w:r>
      <w:r w:rsidRPr="003E2831">
        <w:rPr>
          <w:rFonts w:asciiTheme="majorBidi" w:eastAsia="Times New Roman" w:hAnsiTheme="majorBidi" w:cstheme="majorBidi"/>
          <w:sz w:val="34"/>
          <w:szCs w:val="34"/>
          <w:lang w:val="en-US"/>
        </w:rPr>
        <w:t>-</w:t>
      </w:r>
      <w:r w:rsidRPr="003E2831">
        <w:rPr>
          <w:rFonts w:asciiTheme="majorBidi" w:eastAsia="Times New Roman" w:hAnsiTheme="majorBidi" w:cstheme="majorBidi"/>
          <w:sz w:val="28"/>
          <w:szCs w:val="28"/>
          <w:lang w:val="en-US"/>
        </w:rPr>
        <w:t>Kellogg</w:t>
      </w:r>
      <w:r w:rsidRPr="003E2831">
        <w:rPr>
          <w:rFonts w:asciiTheme="majorBidi" w:eastAsia="Times New Roman" w:hAnsiTheme="majorBidi" w:cstheme="majorBidi" w:hint="cs"/>
          <w:sz w:val="34"/>
          <w:szCs w:val="34"/>
          <w:rtl/>
          <w:lang w:val="en-US"/>
        </w:rPr>
        <w:t>(</w:t>
      </w:r>
      <w:r w:rsidRPr="003E2831">
        <w:rPr>
          <w:rFonts w:asciiTheme="majorBidi" w:eastAsia="Times New Roman" w:hAnsiTheme="majorBidi" w:cstheme="majorBidi" w:hint="cs"/>
          <w:sz w:val="28"/>
          <w:szCs w:val="28"/>
          <w:rtl/>
          <w:lang w:val="en-US"/>
        </w:rPr>
        <w:t>1928</w:t>
      </w:r>
      <w:r w:rsidRPr="003E2831">
        <w:rPr>
          <w:rFonts w:asciiTheme="majorBidi" w:eastAsia="Times New Roman" w:hAnsiTheme="majorBidi" w:cstheme="majorBidi" w:hint="cs"/>
          <w:sz w:val="34"/>
          <w:szCs w:val="34"/>
          <w:rtl/>
          <w:lang w:val="en-US"/>
        </w:rPr>
        <w:t>)</w:t>
      </w:r>
      <w:r w:rsidRPr="003E2831">
        <w:rPr>
          <w:rFonts w:ascii="Calibri" w:eastAsia="Times New Roman" w:hAnsi="Calibri" w:cs="Traditional Arabic" w:hint="cs"/>
          <w:sz w:val="34"/>
          <w:szCs w:val="34"/>
          <w:rtl/>
          <w:lang w:val="en-US"/>
        </w:rPr>
        <w:t>، إصدار النظام العام لتسوية المنازعات الدولية بالطرق السلمية، وصولا إلى ميثاق منظمة الأمم المتحدة.</w:t>
      </w:r>
    </w:p>
    <w:p w:rsidR="003E2831" w:rsidRPr="003E2831" w:rsidRDefault="003E2831" w:rsidP="003E2831">
      <w:pPr>
        <w:bidi/>
        <w:spacing w:before="240"/>
        <w:ind w:firstLine="708"/>
        <w:jc w:val="lowKashida"/>
        <w:rPr>
          <w:rFonts w:ascii="Calibri" w:eastAsia="Times New Roman" w:hAnsi="Calibri" w:cs="Traditional Arabic"/>
          <w:sz w:val="34"/>
          <w:szCs w:val="34"/>
          <w:rtl/>
          <w:lang w:val="en-US"/>
        </w:rPr>
      </w:pPr>
      <w:r w:rsidRPr="003E2831">
        <w:rPr>
          <w:rFonts w:ascii="Calibri" w:eastAsia="Times New Roman" w:hAnsi="Calibri" w:cs="Traditional Arabic" w:hint="cs"/>
          <w:sz w:val="34"/>
          <w:szCs w:val="34"/>
          <w:rtl/>
          <w:lang w:val="en-US"/>
        </w:rPr>
        <w:t xml:space="preserve">ويعتبر مفهوم الأمن الإقليمي من جهة أخرى أحد أشكال نظام الأمن الجماعي وأحد المستويات المتعددة للأمن، حيث تركز جل تفسيرات أبعاده على التنسيق العسكري لردع </w:t>
      </w:r>
      <w:r w:rsidRPr="003E2831">
        <w:rPr>
          <w:rFonts w:ascii="Calibri" w:eastAsia="Times New Roman" w:hAnsi="Calibri" w:cs="Traditional Arabic" w:hint="eastAsia"/>
          <w:sz w:val="34"/>
          <w:szCs w:val="34"/>
          <w:rtl/>
          <w:lang w:val="en-US"/>
        </w:rPr>
        <w:t>أي</w:t>
      </w:r>
      <w:r w:rsidRPr="003E2831">
        <w:rPr>
          <w:rFonts w:ascii="Calibri" w:eastAsia="Times New Roman" w:hAnsi="Calibri" w:cs="Traditional Arabic" w:hint="cs"/>
          <w:sz w:val="34"/>
          <w:szCs w:val="34"/>
          <w:rtl/>
          <w:lang w:val="en-US"/>
        </w:rPr>
        <w:t xml:space="preserve"> تهديد للدول الأطراف فيه، فهو في جوهره يتمثل في العمل على تأمين مجموعة من الدول داخليا ودرء التهديدات الخارجية في حالة توافق مصالحها وأهدافها أو تماثل التحديات التي تواجهها، عبر اتخاذ تدابير محددة في نطاق إقليمي واحد، انطلاقا من مصالح ذاتية ومشتركة بينها، حيث يتعذر على أي عضو تحقيق أمنه خارج إطار هذا النظام الإقليمي، ما </w:t>
      </w:r>
      <w:r w:rsidRPr="003E2831">
        <w:rPr>
          <w:rFonts w:ascii="Calibri" w:eastAsia="Times New Roman" w:hAnsi="Calibri" w:cs="Traditional Arabic" w:hint="cs"/>
          <w:sz w:val="34"/>
          <w:szCs w:val="34"/>
          <w:rtl/>
          <w:lang w:val="en-US"/>
        </w:rPr>
        <w:lastRenderedPageBreak/>
        <w:t>يستدعي وجود مفهوم محدد لهذا الأمن وبلورة منظومة مركّبة لتنظيمه وتحقيقه وتوفير كل ما يكفل تماسك النظام وقدرته على التكيف مع المعطيات الداخلية والخارجية.</w:t>
      </w:r>
    </w:p>
    <w:p w:rsidR="003E2831" w:rsidRPr="003E2831" w:rsidRDefault="003E2831" w:rsidP="003E2831">
      <w:pPr>
        <w:bidi/>
        <w:spacing w:before="240"/>
        <w:ind w:firstLine="708"/>
        <w:jc w:val="lowKashida"/>
        <w:rPr>
          <w:rFonts w:ascii="Traditional Arabic" w:eastAsia="Times New Roman" w:hAnsi="Traditional Arabic" w:cs="Traditional Arabic"/>
          <w:sz w:val="34"/>
          <w:szCs w:val="34"/>
          <w:rtl/>
          <w:lang w:val="en-US"/>
        </w:rPr>
      </w:pPr>
      <w:r w:rsidRPr="003E2831">
        <w:rPr>
          <w:rFonts w:ascii="Calibri" w:eastAsia="Times New Roman" w:hAnsi="Calibri" w:cs="Traditional Arabic" w:hint="cs"/>
          <w:sz w:val="34"/>
          <w:szCs w:val="34"/>
          <w:rtl/>
          <w:lang w:val="en-US"/>
        </w:rPr>
        <w:t xml:space="preserve"> وهو نفس ما ذهب إليه بوزان عند توظيفه مصطلح المجمّع الأمني </w:t>
      </w:r>
      <w:r w:rsidRPr="003E2831">
        <w:rPr>
          <w:rFonts w:asciiTheme="majorBidi" w:eastAsia="Times New Roman" w:hAnsiTheme="majorBidi" w:cstheme="majorBidi"/>
          <w:sz w:val="28"/>
          <w:szCs w:val="28"/>
          <w:lang w:val="en-US"/>
        </w:rPr>
        <w:t>Security</w:t>
      </w:r>
      <w:r>
        <w:rPr>
          <w:rFonts w:asciiTheme="majorBidi" w:eastAsia="Times New Roman" w:hAnsiTheme="majorBidi" w:cstheme="majorBidi"/>
          <w:sz w:val="34"/>
          <w:szCs w:val="34"/>
        </w:rPr>
        <w:t xml:space="preserve"> </w:t>
      </w:r>
      <w:r w:rsidRPr="003E2831">
        <w:rPr>
          <w:rFonts w:asciiTheme="majorBidi" w:eastAsia="Times New Roman" w:hAnsiTheme="majorBidi" w:cstheme="majorBidi"/>
          <w:sz w:val="28"/>
          <w:szCs w:val="28"/>
          <w:lang w:val="en-US"/>
        </w:rPr>
        <w:t>Complex</w:t>
      </w:r>
      <w:r w:rsidRPr="003E2831">
        <w:rPr>
          <w:rFonts w:ascii="Traditional Arabic" w:eastAsia="Times New Roman" w:hAnsi="Traditional Arabic" w:cs="Traditional Arabic" w:hint="cs"/>
          <w:sz w:val="34"/>
          <w:szCs w:val="34"/>
          <w:rtl/>
          <w:lang w:val="en-US"/>
        </w:rPr>
        <w:t xml:space="preserve">، والذي عرّفه بأنه: "يشمل مجموعة من الدول التي ترتبط اهتماماتها الأمنية الأساسية بشكل وثيق في إطاره، حيث لا يمكنها معالجة أوضاعها الأمنية الوطنية بشكل منفرد"؛ </w:t>
      </w:r>
      <w:r w:rsidRPr="003E2831">
        <w:rPr>
          <w:rFonts w:ascii="Calibri" w:eastAsia="Times New Roman" w:hAnsi="Calibri" w:cs="Traditional Arabic" w:hint="cs"/>
          <w:sz w:val="34"/>
          <w:szCs w:val="34"/>
          <w:rtl/>
          <w:lang w:val="en-US"/>
        </w:rPr>
        <w:t>حيث</w:t>
      </w:r>
      <w:r w:rsidRPr="003E2831">
        <w:rPr>
          <w:rFonts w:ascii="Calibri" w:eastAsia="Times New Roman" w:hAnsi="Calibri" w:cs="Traditional Arabic"/>
          <w:sz w:val="34"/>
          <w:szCs w:val="34"/>
          <w:rtl/>
          <w:lang w:val="en-US"/>
        </w:rPr>
        <w:t xml:space="preserve"> يقصد ب</w:t>
      </w:r>
      <w:r w:rsidRPr="003E2831">
        <w:rPr>
          <w:rFonts w:ascii="Calibri" w:eastAsia="Times New Roman" w:hAnsi="Calibri" w:cs="Traditional Arabic" w:hint="cs"/>
          <w:sz w:val="34"/>
          <w:szCs w:val="34"/>
          <w:rtl/>
          <w:lang w:val="en-US"/>
        </w:rPr>
        <w:t xml:space="preserve">المركّبات (المجمّعات) الأمنية </w:t>
      </w:r>
      <w:r w:rsidRPr="003E2831">
        <w:rPr>
          <w:rFonts w:ascii="Calibri" w:eastAsia="Times New Roman" w:hAnsi="Calibri" w:cs="Traditional Arabic"/>
          <w:sz w:val="34"/>
          <w:szCs w:val="34"/>
          <w:rtl/>
          <w:lang w:val="en-US"/>
        </w:rPr>
        <w:t>خلق منظومة أمنية مشتركة بين الدول بما يتوافق ومصالحها وطبيعة التهديدات المشتركة</w:t>
      </w:r>
      <w:r w:rsidRPr="003E2831">
        <w:rPr>
          <w:rFonts w:ascii="Calibri" w:eastAsia="Times New Roman" w:hAnsi="Calibri" w:cs="Traditional Arabic" w:hint="cs"/>
          <w:sz w:val="34"/>
          <w:szCs w:val="34"/>
          <w:rtl/>
          <w:lang w:val="en-US"/>
        </w:rPr>
        <w:t>،</w:t>
      </w:r>
      <w:r w:rsidRPr="003E2831">
        <w:rPr>
          <w:rFonts w:ascii="Calibri" w:eastAsia="Times New Roman" w:hAnsi="Calibri" w:cs="Traditional Arabic"/>
          <w:sz w:val="34"/>
          <w:szCs w:val="34"/>
          <w:rtl/>
          <w:lang w:val="en-US"/>
        </w:rPr>
        <w:t xml:space="preserve"> وبطبيعة الوظيفة التي أنشأت لها هذه التركيبة</w:t>
      </w:r>
      <w:r w:rsidRPr="003E2831">
        <w:rPr>
          <w:rFonts w:ascii="Calibri" w:eastAsia="Times New Roman" w:hAnsi="Calibri" w:cs="Traditional Arabic" w:hint="cs"/>
          <w:sz w:val="34"/>
          <w:szCs w:val="34"/>
          <w:rtl/>
          <w:lang w:val="en-US"/>
        </w:rPr>
        <w:t xml:space="preserve">؛ </w:t>
      </w:r>
      <w:r w:rsidRPr="003E2831">
        <w:rPr>
          <w:rFonts w:ascii="Traditional Arabic" w:eastAsia="Times New Roman" w:hAnsi="Traditional Arabic" w:cs="Traditional Arabic" w:hint="cs"/>
          <w:sz w:val="34"/>
          <w:szCs w:val="34"/>
          <w:rtl/>
          <w:lang w:val="en-US"/>
        </w:rPr>
        <w:t>وتطوّر المفهوم عبر بحوث مدرسة كوبنهاغن كثيرا في مجموعة آسيان وتوصلت إلى أنها تأسست لغاية مكافحة التطرف الشيوعي في الستينات والسبعينات بدعم ورعاية أمريكية</w:t>
      </w:r>
      <w:r w:rsidRPr="003E2831">
        <w:rPr>
          <w:rFonts w:ascii="Traditional Arabic" w:eastAsia="Times New Roman" w:hAnsi="Traditional Arabic" w:cs="Traditional Arabic"/>
          <w:sz w:val="34"/>
          <w:szCs w:val="34"/>
          <w:rtl/>
          <w:lang w:val="en-US"/>
        </w:rPr>
        <w:t xml:space="preserve"> (</w:t>
      </w:r>
      <w:r w:rsidRPr="003E2831">
        <w:rPr>
          <w:rFonts w:ascii="Traditional Arabic" w:eastAsia="Times New Roman" w:hAnsi="Traditional Arabic" w:cs="Traditional Arabic" w:hint="cs"/>
          <w:sz w:val="34"/>
          <w:szCs w:val="34"/>
          <w:rtl/>
          <w:lang w:val="en-US"/>
        </w:rPr>
        <w:t>ضعيفة الاستقلالية القرارية في شؤون الأمن الجهوي</w:t>
      </w:r>
      <w:r w:rsidRPr="003E2831">
        <w:rPr>
          <w:rFonts w:ascii="Traditional Arabic" w:eastAsia="Times New Roman" w:hAnsi="Traditional Arabic" w:cs="Traditional Arabic"/>
          <w:sz w:val="34"/>
          <w:szCs w:val="34"/>
          <w:rtl/>
          <w:lang w:val="en-US"/>
        </w:rPr>
        <w:t>)</w:t>
      </w:r>
      <w:r w:rsidRPr="003E2831">
        <w:rPr>
          <w:rFonts w:ascii="Traditional Arabic" w:eastAsia="Times New Roman" w:hAnsi="Traditional Arabic" w:cs="Traditional Arabic" w:hint="cs"/>
          <w:sz w:val="34"/>
          <w:szCs w:val="34"/>
          <w:rtl/>
          <w:lang w:val="en-US"/>
        </w:rPr>
        <w:t>، ثم تحولت بانضمام دول أخرى إلى منحنى اقتصادي لتشكل قطبا اقتصاديا جهويا</w:t>
      </w:r>
      <w:r w:rsidRPr="003E2831">
        <w:rPr>
          <w:rFonts w:ascii="Traditional Arabic" w:eastAsia="Times New Roman" w:hAnsi="Traditional Arabic" w:cs="Traditional Arabic"/>
          <w:sz w:val="34"/>
          <w:szCs w:val="34"/>
          <w:rtl/>
          <w:lang w:val="en-US"/>
        </w:rPr>
        <w:t xml:space="preserve"> (</w:t>
      </w:r>
      <w:r w:rsidRPr="003E2831">
        <w:rPr>
          <w:rFonts w:ascii="Traditional Arabic" w:eastAsia="Times New Roman" w:hAnsi="Traditional Arabic" w:cs="Traditional Arabic" w:hint="cs"/>
          <w:sz w:val="34"/>
          <w:szCs w:val="34"/>
          <w:rtl/>
          <w:lang w:val="en-US"/>
        </w:rPr>
        <w:t>أمن اقتصادي مشترك</w:t>
      </w:r>
      <w:r w:rsidRPr="003E2831">
        <w:rPr>
          <w:rFonts w:ascii="Traditional Arabic" w:eastAsia="Times New Roman" w:hAnsi="Traditional Arabic" w:cs="Traditional Arabic"/>
          <w:sz w:val="34"/>
          <w:szCs w:val="34"/>
          <w:rtl/>
          <w:lang w:val="en-US"/>
        </w:rPr>
        <w:t xml:space="preserve">) </w:t>
      </w:r>
      <w:r w:rsidRPr="003E2831">
        <w:rPr>
          <w:rFonts w:ascii="Traditional Arabic" w:eastAsia="Times New Roman" w:hAnsi="Traditional Arabic" w:cs="Traditional Arabic" w:hint="cs"/>
          <w:sz w:val="34"/>
          <w:szCs w:val="34"/>
          <w:rtl/>
          <w:lang w:val="en-US"/>
        </w:rPr>
        <w:t>في الثمانينات، وصولا في التسعينات بتبني التصور الديمقراطي للحكم مع رفض أي نظام سياسي ينتج عن الانقلاب العسكري</w:t>
      </w:r>
      <w:r w:rsidRPr="003E2831">
        <w:rPr>
          <w:rFonts w:ascii="Traditional Arabic" w:eastAsia="Times New Roman" w:hAnsi="Traditional Arabic" w:cs="Traditional Arabic"/>
          <w:sz w:val="34"/>
          <w:szCs w:val="34"/>
          <w:rtl/>
          <w:lang w:val="en-US"/>
        </w:rPr>
        <w:t xml:space="preserve"> (</w:t>
      </w:r>
      <w:r w:rsidRPr="003E2831">
        <w:rPr>
          <w:rFonts w:ascii="Traditional Arabic" w:eastAsia="Times New Roman" w:hAnsi="Traditional Arabic" w:cs="Traditional Arabic" w:hint="cs"/>
          <w:sz w:val="34"/>
          <w:szCs w:val="34"/>
          <w:rtl/>
          <w:lang w:val="en-US"/>
        </w:rPr>
        <w:t>الأمن السياسي</w:t>
      </w:r>
      <w:r w:rsidRPr="003E2831">
        <w:rPr>
          <w:rFonts w:ascii="Traditional Arabic" w:eastAsia="Times New Roman" w:hAnsi="Traditional Arabic" w:cs="Traditional Arabic"/>
          <w:sz w:val="34"/>
          <w:szCs w:val="34"/>
          <w:rtl/>
          <w:lang w:val="en-US"/>
        </w:rPr>
        <w:t xml:space="preserve">) </w:t>
      </w:r>
      <w:r w:rsidRPr="003E2831">
        <w:rPr>
          <w:rFonts w:ascii="Traditional Arabic" w:eastAsia="Times New Roman" w:hAnsi="Traditional Arabic" w:cs="Traditional Arabic" w:hint="cs"/>
          <w:sz w:val="34"/>
          <w:szCs w:val="34"/>
          <w:rtl/>
          <w:lang w:val="en-US"/>
        </w:rPr>
        <w:t>وعلى المستوى الأوربي اعتبرت المدرسة أن كثرة الدول وتنوع بنيتها الاقتصادية والسياسية واختلافاها على المستوى المقدرات العسكرية وتنوع مصادر تهديدها جعلها أقل قدرة على محاكاة البنية الأسيوية الجنوبية، وهذا ما جعل مدرسة كوبنهاغن تطرح فكرة التماثل في القيم والبنى والمقدرات وفي التهديدات والمخاطر لبناء مصفوفة أمن مشترك</w:t>
      </w:r>
      <w:r w:rsidRPr="003E2831">
        <w:rPr>
          <w:rFonts w:ascii="Traditional Arabic" w:eastAsia="Times New Roman" w:hAnsi="Traditional Arabic" w:cs="Traditional Arabic"/>
          <w:sz w:val="34"/>
          <w:szCs w:val="34"/>
          <w:rtl/>
          <w:lang w:val="en-US"/>
        </w:rPr>
        <w:t>.</w:t>
      </w:r>
    </w:p>
    <w:p w:rsidR="003E2831" w:rsidRPr="003E2831" w:rsidRDefault="003E2831" w:rsidP="003E2831">
      <w:pPr>
        <w:bidi/>
        <w:spacing w:before="240"/>
        <w:ind w:firstLine="567"/>
        <w:jc w:val="lowKashida"/>
        <w:rPr>
          <w:rFonts w:ascii="Traditional Arabic" w:eastAsia="Times New Roman" w:hAnsi="Traditional Arabic" w:cs="Traditional Arabic"/>
          <w:sz w:val="34"/>
          <w:szCs w:val="34"/>
          <w:rtl/>
          <w:lang w:val="en-US" w:bidi="ar-DZ"/>
        </w:rPr>
      </w:pPr>
      <w:r w:rsidRPr="003E2831">
        <w:rPr>
          <w:rFonts w:ascii="Traditional Arabic" w:eastAsia="Times New Roman" w:hAnsi="Traditional Arabic" w:cs="Traditional Arabic" w:hint="cs"/>
          <w:sz w:val="34"/>
          <w:szCs w:val="34"/>
          <w:rtl/>
          <w:lang w:val="en-US"/>
        </w:rPr>
        <w:t>ويشكل نظام الأمن الإقليمي دلالة نظامية وحركية لمفهوم الأمن، حيث ينعكس في شكل سياسات أو مؤسسات تضطلع به وفق التعريف المتفق عليه لأمن الدول الأعضاء، وحيث يتوقف استقراره وفعاليته على مستوى الإلتزامات المتزنة والمشتركة التي يقوم عليها، ودرجة الصلاحيات فوق القومية القانونية والإجرائية التي تتمتع بها</w:t>
      </w:r>
      <w:r w:rsidRPr="003E2831">
        <w:rPr>
          <w:rFonts w:ascii="Traditional Arabic" w:eastAsia="Times New Roman" w:hAnsi="Traditional Arabic" w:cs="Traditional Arabic" w:hint="cs"/>
          <w:sz w:val="34"/>
          <w:szCs w:val="34"/>
          <w:rtl/>
          <w:lang w:val="en-US" w:bidi="ar-DZ"/>
        </w:rPr>
        <w:t>مؤسساته.</w:t>
      </w:r>
    </w:p>
    <w:p w:rsidR="003E2831" w:rsidRPr="003E2831" w:rsidRDefault="003E2831" w:rsidP="003E2831">
      <w:pPr>
        <w:bidi/>
        <w:spacing w:before="240"/>
        <w:ind w:firstLine="567"/>
        <w:jc w:val="lowKashida"/>
        <w:rPr>
          <w:rFonts w:ascii="Traditional Arabic" w:eastAsia="Times New Roman" w:hAnsi="Traditional Arabic" w:cs="Traditional Arabic"/>
          <w:sz w:val="34"/>
          <w:szCs w:val="34"/>
          <w:rtl/>
          <w:lang w:val="en-US" w:bidi="ar-DZ"/>
        </w:rPr>
      </w:pPr>
      <w:r w:rsidRPr="003E2831">
        <w:rPr>
          <w:rFonts w:ascii="Traditional Arabic" w:eastAsia="Times New Roman" w:hAnsi="Traditional Arabic" w:cs="Traditional Arabic" w:hint="cs"/>
          <w:sz w:val="34"/>
          <w:szCs w:val="34"/>
          <w:rtl/>
          <w:lang w:val="en-US" w:bidi="ar-DZ"/>
        </w:rPr>
        <w:t>ويتخذ التعاون الأمني الإقليمي أشكالا متعددة من الترتيبات الأمنية وفقا لنطاقها واهدافها وآليات تطبيقها وطبيعة تهديداتها:</w:t>
      </w:r>
    </w:p>
    <w:p w:rsidR="003E2831" w:rsidRPr="003E2831" w:rsidRDefault="003E2831" w:rsidP="003E2831">
      <w:pPr>
        <w:pStyle w:val="Paragraphedeliste"/>
        <w:numPr>
          <w:ilvl w:val="0"/>
          <w:numId w:val="1"/>
        </w:numPr>
        <w:bidi/>
        <w:spacing w:before="240"/>
        <w:jc w:val="lowKashida"/>
        <w:rPr>
          <w:rFonts w:ascii="Traditional Arabic" w:eastAsia="Times New Roman" w:hAnsi="Traditional Arabic" w:cs="Traditional Arabic"/>
          <w:sz w:val="34"/>
          <w:szCs w:val="34"/>
          <w:lang w:bidi="ar-DZ"/>
        </w:rPr>
      </w:pPr>
      <w:r w:rsidRPr="003E2831">
        <w:rPr>
          <w:rFonts w:ascii="Traditional Arabic" w:eastAsia="Times New Roman" w:hAnsi="Traditional Arabic" w:cs="Traditional Arabic" w:hint="cs"/>
          <w:sz w:val="34"/>
          <w:szCs w:val="34"/>
          <w:rtl/>
          <w:lang w:bidi="ar-DZ"/>
        </w:rPr>
        <w:lastRenderedPageBreak/>
        <w:t>الدفاع الجماعي: هو تعبير عن تطابق وجهات النظر بين الدول الأطراف في اتفاقية أمنية رسمية حول وجود أو احتمال وجود تهديد أو عدو مشترك ذو طبيعة عسكرية بالخصوص، وخاصة إذا تعلق الأمر بسيادة أو سلامة إقليم دولة عضو في هذا النظام.</w:t>
      </w:r>
    </w:p>
    <w:p w:rsidR="003E2831" w:rsidRPr="003E2831" w:rsidRDefault="003E2831" w:rsidP="003E2831">
      <w:pPr>
        <w:pStyle w:val="Paragraphedeliste"/>
        <w:numPr>
          <w:ilvl w:val="0"/>
          <w:numId w:val="1"/>
        </w:numPr>
        <w:bidi/>
        <w:spacing w:before="240"/>
        <w:jc w:val="lowKashida"/>
        <w:rPr>
          <w:rFonts w:ascii="Traditional Arabic" w:eastAsia="Times New Roman" w:hAnsi="Traditional Arabic" w:cs="Traditional Arabic"/>
          <w:sz w:val="34"/>
          <w:szCs w:val="34"/>
          <w:lang w:bidi="ar-DZ"/>
        </w:rPr>
      </w:pPr>
      <w:r w:rsidRPr="003E2831">
        <w:rPr>
          <w:rFonts w:ascii="Traditional Arabic" w:eastAsia="Times New Roman" w:hAnsi="Traditional Arabic" w:cs="Traditional Arabic" w:hint="cs"/>
          <w:sz w:val="34"/>
          <w:szCs w:val="34"/>
          <w:rtl/>
          <w:lang w:bidi="ar-DZ"/>
        </w:rPr>
        <w:t>الأمن المتحد: يتمثل في إجراءات أمنية جماعية غير رسمية تتبناها مجموعة قوى كبرى لردع أي عدوان عليها.</w:t>
      </w:r>
    </w:p>
    <w:p w:rsidR="003E2831" w:rsidRPr="003E2831" w:rsidRDefault="003E2831" w:rsidP="003E2831">
      <w:pPr>
        <w:pStyle w:val="Paragraphedeliste"/>
        <w:numPr>
          <w:ilvl w:val="0"/>
          <w:numId w:val="1"/>
        </w:numPr>
        <w:bidi/>
        <w:spacing w:before="240"/>
        <w:jc w:val="lowKashida"/>
        <w:rPr>
          <w:rFonts w:ascii="Traditional Arabic" w:eastAsia="Times New Roman" w:hAnsi="Traditional Arabic" w:cs="Traditional Arabic"/>
          <w:sz w:val="34"/>
          <w:szCs w:val="34"/>
          <w:lang w:bidi="ar-DZ"/>
        </w:rPr>
      </w:pPr>
      <w:r w:rsidRPr="003E2831">
        <w:rPr>
          <w:rFonts w:ascii="Traditional Arabic" w:eastAsia="Times New Roman" w:hAnsi="Traditional Arabic" w:cs="Traditional Arabic" w:hint="cs"/>
          <w:sz w:val="34"/>
          <w:szCs w:val="34"/>
          <w:rtl/>
          <w:lang w:bidi="ar-DZ"/>
        </w:rPr>
        <w:t>الأمن المشترك: يركز على فكرة وجود مصلحة مشتركة لدول المنطقة في تجنب الحرب، حيث يعمل على تفاديها عن طريق بناء الثقة ونزع السلاح وتفادي استخدام الردع، لأجل ذلك يقوم في فلسفته على البعد العسكري الدفاعي للأمن.</w:t>
      </w:r>
    </w:p>
    <w:p w:rsidR="003E2831" w:rsidRPr="003E2831" w:rsidRDefault="003E2831" w:rsidP="003E2831">
      <w:pPr>
        <w:pStyle w:val="Paragraphedeliste"/>
        <w:numPr>
          <w:ilvl w:val="0"/>
          <w:numId w:val="1"/>
        </w:numPr>
        <w:bidi/>
        <w:spacing w:before="240"/>
        <w:jc w:val="lowKashida"/>
        <w:rPr>
          <w:rFonts w:ascii="Traditional Arabic" w:eastAsia="Times New Roman" w:hAnsi="Traditional Arabic" w:cs="Traditional Arabic"/>
          <w:sz w:val="34"/>
          <w:szCs w:val="34"/>
          <w:lang w:bidi="ar-DZ"/>
        </w:rPr>
      </w:pPr>
      <w:r w:rsidRPr="003E2831">
        <w:rPr>
          <w:rFonts w:ascii="Traditional Arabic" w:eastAsia="Times New Roman" w:hAnsi="Traditional Arabic" w:cs="Traditional Arabic" w:hint="cs"/>
          <w:sz w:val="34"/>
          <w:szCs w:val="34"/>
          <w:rtl/>
          <w:lang w:bidi="ar-DZ"/>
        </w:rPr>
        <w:t>الأمن الشامل: يضع المسألة العسكرية في الوعاء المجتمعي الشامل للأمن، حيث يوسّع الإعتماد على مفهوم الأمن العسكري الدفاعي للأمن إلى الجوانب الاجتماعية والإقتصادية التي تشكل تهديدات غير مباشرة للأمن لكنها ضرورية للحفاظ عليه.</w:t>
      </w:r>
    </w:p>
    <w:p w:rsidR="003E2831" w:rsidRPr="003E2831" w:rsidRDefault="003E2831" w:rsidP="003E2831">
      <w:pPr>
        <w:pStyle w:val="Paragraphedeliste"/>
        <w:numPr>
          <w:ilvl w:val="0"/>
          <w:numId w:val="1"/>
        </w:numPr>
        <w:bidi/>
        <w:spacing w:before="240"/>
        <w:jc w:val="lowKashida"/>
        <w:rPr>
          <w:rFonts w:ascii="Traditional Arabic" w:eastAsia="Times New Roman" w:hAnsi="Traditional Arabic" w:cs="Traditional Arabic"/>
          <w:sz w:val="34"/>
          <w:szCs w:val="34"/>
          <w:lang w:bidi="ar-DZ"/>
        </w:rPr>
      </w:pPr>
      <w:r w:rsidRPr="003E2831">
        <w:rPr>
          <w:rFonts w:ascii="Traditional Arabic" w:eastAsia="Times New Roman" w:hAnsi="Traditional Arabic" w:cs="Traditional Arabic" w:hint="cs"/>
          <w:sz w:val="34"/>
          <w:szCs w:val="34"/>
          <w:rtl/>
          <w:lang w:bidi="ar-DZ"/>
        </w:rPr>
        <w:t>الأمن التنسيقي: يرتبط بسياق إقليمي تنافسي، ولا يتضمن تعاونا واضحا ولا صراعا صريحا، حيث تلجأ الدول إلى التنسيق بينها لدعم التعاون الأمني.</w:t>
      </w:r>
    </w:p>
    <w:p w:rsidR="003E2831" w:rsidRPr="003E2831" w:rsidRDefault="003E2831" w:rsidP="003E2831">
      <w:pPr>
        <w:pStyle w:val="Paragraphedeliste"/>
        <w:numPr>
          <w:ilvl w:val="0"/>
          <w:numId w:val="1"/>
        </w:numPr>
        <w:bidi/>
        <w:spacing w:before="240"/>
        <w:jc w:val="lowKashida"/>
        <w:rPr>
          <w:rFonts w:ascii="Traditional Arabic" w:eastAsia="Times New Roman" w:hAnsi="Traditional Arabic" w:cs="Traditional Arabic"/>
          <w:sz w:val="34"/>
          <w:szCs w:val="34"/>
          <w:lang w:bidi="ar-DZ"/>
        </w:rPr>
      </w:pPr>
      <w:r w:rsidRPr="003E2831">
        <w:rPr>
          <w:rFonts w:ascii="Traditional Arabic" w:eastAsia="Times New Roman" w:hAnsi="Traditional Arabic" w:cs="Traditional Arabic" w:hint="cs"/>
          <w:sz w:val="34"/>
          <w:szCs w:val="34"/>
          <w:rtl/>
          <w:lang w:bidi="ar-DZ"/>
        </w:rPr>
        <w:t>الأمن التعاوني: يشمل قضايا الأمن الناعم كالنمو الديمغرافي والتنمية المستدامة والبيئة وندرة الموارد ...الخ، ويسعى إلى تطوير وتطبيق مجموعة قواعد للسلوك الإقليمي الذي يتبنى الإعتماد المتبادل المتفق عليه في إطار تعاون أمني شامل.</w:t>
      </w:r>
    </w:p>
    <w:p w:rsidR="003E2831" w:rsidRPr="003E2831" w:rsidRDefault="003E2831" w:rsidP="003E2831">
      <w:pPr>
        <w:pStyle w:val="Paragraphedeliste"/>
        <w:numPr>
          <w:ilvl w:val="0"/>
          <w:numId w:val="1"/>
        </w:numPr>
        <w:bidi/>
        <w:spacing w:before="240"/>
        <w:jc w:val="lowKashida"/>
        <w:rPr>
          <w:rFonts w:ascii="Traditional Arabic" w:eastAsia="Times New Roman" w:hAnsi="Traditional Arabic" w:cs="Traditional Arabic"/>
          <w:sz w:val="34"/>
          <w:szCs w:val="34"/>
          <w:rtl/>
          <w:lang w:bidi="ar-DZ"/>
        </w:rPr>
      </w:pPr>
      <w:r w:rsidRPr="003E2831">
        <w:rPr>
          <w:rFonts w:ascii="Traditional Arabic" w:eastAsia="Times New Roman" w:hAnsi="Traditional Arabic" w:cs="Traditional Arabic" w:hint="cs"/>
          <w:sz w:val="34"/>
          <w:szCs w:val="34"/>
          <w:rtl/>
          <w:lang w:bidi="ar-DZ"/>
        </w:rPr>
        <w:t xml:space="preserve">الجماعة الأمنية: وهي تعبير عن وجود تكامل أمني يعمل في إطار مؤسسي متكامل، عبر التعاون والتكامل الإقتصادي والسياسي والأمني على نحو مطّرد، ويقترب هذا المفهوم الذي طرحه كارل دوتش </w:t>
      </w:r>
      <w:r w:rsidRPr="003E2831">
        <w:rPr>
          <w:rFonts w:asciiTheme="majorBidi" w:eastAsia="Times New Roman" w:hAnsiTheme="majorBidi" w:cstheme="majorBidi"/>
          <w:sz w:val="28"/>
          <w:szCs w:val="28"/>
          <w:lang w:bidi="ar-DZ"/>
        </w:rPr>
        <w:t>Karl</w:t>
      </w:r>
      <w:r w:rsidRPr="003E2831">
        <w:rPr>
          <w:rFonts w:asciiTheme="majorBidi" w:eastAsia="Times New Roman" w:hAnsiTheme="majorBidi" w:cstheme="majorBidi"/>
          <w:sz w:val="34"/>
          <w:szCs w:val="34"/>
          <w:lang w:bidi="ar-DZ"/>
        </w:rPr>
        <w:t xml:space="preserve"> </w:t>
      </w:r>
      <w:r w:rsidRPr="003E2831">
        <w:rPr>
          <w:rFonts w:asciiTheme="majorBidi" w:eastAsia="Times New Roman" w:hAnsiTheme="majorBidi" w:cstheme="majorBidi"/>
          <w:sz w:val="28"/>
          <w:szCs w:val="28"/>
          <w:lang w:bidi="ar-DZ"/>
        </w:rPr>
        <w:t>DEUTCH</w:t>
      </w:r>
      <w:r>
        <w:rPr>
          <w:rFonts w:asciiTheme="majorBidi" w:eastAsia="Times New Roman" w:hAnsiTheme="majorBidi" w:cstheme="majorBidi" w:hint="cs"/>
          <w:sz w:val="34"/>
          <w:szCs w:val="34"/>
          <w:rtl/>
          <w:lang w:bidi="ar-DZ"/>
        </w:rPr>
        <w:t xml:space="preserve"> </w:t>
      </w:r>
      <w:r w:rsidRPr="003E2831">
        <w:rPr>
          <w:rFonts w:ascii="Traditional Arabic" w:eastAsia="Times New Roman" w:hAnsi="Traditional Arabic" w:cs="Traditional Arabic" w:hint="cs"/>
          <w:sz w:val="34"/>
          <w:szCs w:val="34"/>
          <w:rtl/>
          <w:lang w:bidi="ar-DZ"/>
        </w:rPr>
        <w:t>من مفهوم المجمّع الأمني عند بوزان في اتخاذ المستوى الإقليمي كوحدة تحليل رئيسية للقضايا الأمنية.</w:t>
      </w:r>
    </w:p>
    <w:p w:rsidR="00A1130A" w:rsidRPr="003E2831" w:rsidRDefault="00A1130A">
      <w:pPr>
        <w:rPr>
          <w:sz w:val="34"/>
          <w:szCs w:val="34"/>
          <w:lang w:bidi="ar-DZ"/>
        </w:rPr>
      </w:pPr>
    </w:p>
    <w:sectPr w:rsidR="00A1130A" w:rsidRPr="003E2831" w:rsidSect="003E2831">
      <w:footerReference w:type="default" r:id="rId7"/>
      <w:pgSz w:w="11906" w:h="16838"/>
      <w:pgMar w:top="1276" w:right="1417"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30A" w:rsidRDefault="00A1130A" w:rsidP="003E2831">
      <w:pPr>
        <w:spacing w:after="0" w:line="240" w:lineRule="auto"/>
      </w:pPr>
      <w:r>
        <w:separator/>
      </w:r>
    </w:p>
  </w:endnote>
  <w:endnote w:type="continuationSeparator" w:id="1">
    <w:p w:rsidR="00A1130A" w:rsidRDefault="00A1130A" w:rsidP="003E2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914063"/>
      <w:docPartObj>
        <w:docPartGallery w:val="Page Numbers (Bottom of Page)"/>
        <w:docPartUnique/>
      </w:docPartObj>
    </w:sdtPr>
    <w:sdtContent>
      <w:p w:rsidR="003E2831" w:rsidRDefault="003E2831">
        <w:pPr>
          <w:pStyle w:val="Pieddepage"/>
        </w:pPr>
        <w:r>
          <w:rPr>
            <w:noProof/>
            <w:lang w:eastAsia="zh-TW"/>
          </w:rPr>
          <w:pict>
            <v:group id="_x0000_s1025"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026" type="#_x0000_t32" style="position:absolute;left:2111;top:15387;width:0;height:441;flip:y" o:connectortype="straight" strokecolor="#7f7f7f [1612]"/>
              <v:rect id="_x0000_s1027" style="position:absolute;left:1743;top:14699;width:688;height:688;v-text-anchor:middle" filled="f" strokecolor="#7f7f7f [1612]">
                <v:textbox style="mso-next-textbox:#_x0000_s1027">
                  <w:txbxContent>
                    <w:p w:rsidR="003E2831" w:rsidRDefault="003E2831">
                      <w:pPr>
                        <w:pStyle w:val="Pieddepage"/>
                        <w:jc w:val="center"/>
                        <w:rPr>
                          <w:sz w:val="16"/>
                          <w:szCs w:val="16"/>
                        </w:rPr>
                      </w:pPr>
                      <w:fldSimple w:instr=" PAGE    \* MERGEFORMAT ">
                        <w:r w:rsidRPr="003E2831">
                          <w:rPr>
                            <w:noProof/>
                            <w:sz w:val="16"/>
                            <w:szCs w:val="16"/>
                          </w:rPr>
                          <w:t>4</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30A" w:rsidRDefault="00A1130A" w:rsidP="003E2831">
      <w:pPr>
        <w:spacing w:after="0" w:line="240" w:lineRule="auto"/>
      </w:pPr>
      <w:r>
        <w:separator/>
      </w:r>
    </w:p>
  </w:footnote>
  <w:footnote w:type="continuationSeparator" w:id="1">
    <w:p w:rsidR="00A1130A" w:rsidRDefault="00A1130A" w:rsidP="003E28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71A1"/>
    <w:multiLevelType w:val="hybridMultilevel"/>
    <w:tmpl w:val="9A66E9C2"/>
    <w:lvl w:ilvl="0" w:tplc="F782BC20">
      <w:start w:val="30"/>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rules v:ext="edit">
        <o:r id="V:Rule1" type="connector" idref="#_x0000_s1026"/>
      </o:rules>
    </o:shapelayout>
  </w:hdrShapeDefaults>
  <w:footnotePr>
    <w:footnote w:id="0"/>
    <w:footnote w:id="1"/>
  </w:footnotePr>
  <w:endnotePr>
    <w:endnote w:id="0"/>
    <w:endnote w:id="1"/>
  </w:endnotePr>
  <w:compat>
    <w:useFELayout/>
  </w:compat>
  <w:rsids>
    <w:rsidRoot w:val="003E2831"/>
    <w:rsid w:val="003E2831"/>
    <w:rsid w:val="00A113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E2831"/>
    <w:pPr>
      <w:spacing w:after="0" w:line="240" w:lineRule="auto"/>
      <w:jc w:val="right"/>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3E2831"/>
    <w:rPr>
      <w:rFonts w:eastAsiaTheme="minorHAnsi"/>
      <w:sz w:val="20"/>
      <w:szCs w:val="20"/>
      <w:lang w:eastAsia="en-US"/>
    </w:rPr>
  </w:style>
  <w:style w:type="character" w:styleId="Appelnotedebasdep">
    <w:name w:val="footnote reference"/>
    <w:basedOn w:val="Policepardfaut"/>
    <w:uiPriority w:val="99"/>
    <w:semiHidden/>
    <w:rsid w:val="003E2831"/>
    <w:rPr>
      <w:vertAlign w:val="superscript"/>
    </w:rPr>
  </w:style>
  <w:style w:type="paragraph" w:styleId="Paragraphedeliste">
    <w:name w:val="List Paragraph"/>
    <w:basedOn w:val="Normal"/>
    <w:uiPriority w:val="34"/>
    <w:qFormat/>
    <w:rsid w:val="003E2831"/>
    <w:pPr>
      <w:ind w:left="720"/>
      <w:contextualSpacing/>
      <w:jc w:val="right"/>
    </w:pPr>
    <w:rPr>
      <w:rFonts w:ascii="Calibri" w:eastAsia="Calibri" w:hAnsi="Calibri" w:cs="Arial"/>
      <w:lang w:eastAsia="en-US"/>
    </w:rPr>
  </w:style>
  <w:style w:type="paragraph" w:styleId="En-tte">
    <w:name w:val="header"/>
    <w:basedOn w:val="Normal"/>
    <w:link w:val="En-tteCar"/>
    <w:uiPriority w:val="99"/>
    <w:semiHidden/>
    <w:unhideWhenUsed/>
    <w:rsid w:val="003E28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2831"/>
  </w:style>
  <w:style w:type="paragraph" w:styleId="Pieddepage">
    <w:name w:val="footer"/>
    <w:basedOn w:val="Normal"/>
    <w:link w:val="PieddepageCar"/>
    <w:uiPriority w:val="99"/>
    <w:unhideWhenUsed/>
    <w:rsid w:val="003E2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28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1002</Words>
  <Characters>5514</Characters>
  <Application>Microsoft Office Word</Application>
  <DocSecurity>0</DocSecurity>
  <Lines>45</Lines>
  <Paragraphs>13</Paragraphs>
  <ScaleCrop>false</ScaleCrop>
  <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cabinet</dc:creator>
  <cp:keywords/>
  <dc:description/>
  <cp:lastModifiedBy>Chef cabinet</cp:lastModifiedBy>
  <cp:revision>2</cp:revision>
  <dcterms:created xsi:type="dcterms:W3CDTF">2020-03-19T12:56:00Z</dcterms:created>
  <dcterms:modified xsi:type="dcterms:W3CDTF">2020-03-19T13:06:00Z</dcterms:modified>
</cp:coreProperties>
</file>