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7A5E" w:rsidRDefault="00417A5E" w:rsidP="00417A5E">
      <w:pPr>
        <w:tabs>
          <w:tab w:val="center" w:pos="4536"/>
        </w:tabs>
        <w:rPr>
          <w:rFonts w:asciiTheme="majorBidi" w:hAnsiTheme="majorBidi" w:cstheme="majorBidi"/>
          <w:b/>
          <w:bCs/>
          <w:sz w:val="28"/>
          <w:szCs w:val="28"/>
        </w:rPr>
      </w:pPr>
      <w:bookmarkStart w:id="0" w:name="_GoBack"/>
      <w:bookmarkEnd w:id="0"/>
    </w:p>
    <w:p w:rsidR="00417A5E" w:rsidRPr="0081540E" w:rsidRDefault="00417A5E" w:rsidP="00417A5E">
      <w:pPr>
        <w:rPr>
          <w:rFonts w:asciiTheme="majorBidi" w:hAnsiTheme="majorBidi" w:cstheme="majorBidi"/>
          <w:b/>
          <w:bCs/>
          <w:sz w:val="28"/>
          <w:szCs w:val="28"/>
          <w:lang w:val="es-ES_tradnl"/>
        </w:rPr>
      </w:pPr>
      <w:r w:rsidRPr="0081540E">
        <w:rPr>
          <w:rFonts w:asciiTheme="majorBidi" w:hAnsiTheme="majorBidi" w:cstheme="majorBidi"/>
          <w:b/>
          <w:bCs/>
          <w:sz w:val="28"/>
          <w:szCs w:val="28"/>
          <w:lang w:val="es-ES_tradnl"/>
        </w:rPr>
        <w:t>Módulo : Psicología y comunicación</w:t>
      </w:r>
    </w:p>
    <w:p w:rsidR="00417A5E" w:rsidRPr="0081540E" w:rsidRDefault="00417A5E" w:rsidP="00417A5E">
      <w:pPr>
        <w:rPr>
          <w:rFonts w:asciiTheme="majorBidi" w:hAnsiTheme="majorBidi" w:cstheme="majorBidi"/>
          <w:b/>
          <w:bCs/>
          <w:sz w:val="28"/>
          <w:szCs w:val="28"/>
          <w:lang w:val="es-ES_tradnl"/>
        </w:rPr>
      </w:pPr>
      <w:r w:rsidRPr="0081540E">
        <w:rPr>
          <w:rFonts w:asciiTheme="majorBidi" w:hAnsiTheme="majorBidi" w:cstheme="majorBidi"/>
          <w:b/>
          <w:bCs/>
          <w:sz w:val="28"/>
          <w:szCs w:val="28"/>
          <w:lang w:val="es-ES_tradnl"/>
        </w:rPr>
        <w:t>Curso : L3 – S6</w:t>
      </w:r>
    </w:p>
    <w:p w:rsidR="00417A5E" w:rsidRDefault="00417A5E" w:rsidP="00417A5E">
      <w:pPr>
        <w:rPr>
          <w:rFonts w:asciiTheme="majorBidi" w:hAnsiTheme="majorBidi" w:cstheme="majorBidi"/>
          <w:b/>
          <w:bCs/>
          <w:sz w:val="28"/>
          <w:szCs w:val="28"/>
        </w:rPr>
      </w:pPr>
      <w:r>
        <w:rPr>
          <w:rFonts w:asciiTheme="majorBidi" w:hAnsiTheme="majorBidi" w:cstheme="majorBidi"/>
          <w:b/>
          <w:bCs/>
          <w:sz w:val="28"/>
          <w:szCs w:val="28"/>
        </w:rPr>
        <w:t>Profesor : Bensahla-tani  Sidi-mohammed</w:t>
      </w:r>
    </w:p>
    <w:p w:rsidR="00417A5E" w:rsidRDefault="00417A5E" w:rsidP="00417A5E">
      <w:pPr>
        <w:jc w:val="center"/>
        <w:rPr>
          <w:rFonts w:asciiTheme="majorBidi" w:hAnsiTheme="majorBidi" w:cstheme="majorBidi"/>
          <w:b/>
          <w:bCs/>
          <w:sz w:val="28"/>
          <w:szCs w:val="28"/>
        </w:rPr>
      </w:pPr>
    </w:p>
    <w:p w:rsidR="00417A5E" w:rsidRPr="00485DF6" w:rsidRDefault="00417A5E" w:rsidP="00417A5E">
      <w:pPr>
        <w:rPr>
          <w:rFonts w:asciiTheme="majorBidi" w:hAnsiTheme="majorBidi" w:cstheme="majorBidi"/>
          <w:b/>
          <w:bCs/>
          <w:sz w:val="28"/>
          <w:szCs w:val="28"/>
        </w:rPr>
      </w:pPr>
      <w:r>
        <w:rPr>
          <w:rFonts w:asciiTheme="majorBidi" w:hAnsiTheme="majorBidi" w:cstheme="majorBidi"/>
          <w:b/>
          <w:bCs/>
          <w:sz w:val="28"/>
          <w:szCs w:val="28"/>
        </w:rPr>
        <w:t xml:space="preserve">Título de la conferencia : </w:t>
      </w:r>
      <w:r w:rsidRPr="00485DF6">
        <w:rPr>
          <w:rFonts w:asciiTheme="majorBidi" w:hAnsiTheme="majorBidi" w:cstheme="majorBidi"/>
          <w:b/>
          <w:bCs/>
          <w:sz w:val="28"/>
          <w:szCs w:val="28"/>
        </w:rPr>
        <w:t>I</w:t>
      </w:r>
      <w:r>
        <w:rPr>
          <w:rFonts w:asciiTheme="majorBidi" w:hAnsiTheme="majorBidi" w:cstheme="majorBidi"/>
          <w:b/>
          <w:bCs/>
          <w:sz w:val="28"/>
          <w:szCs w:val="28"/>
        </w:rPr>
        <w:t>mplicaniciones</w:t>
      </w:r>
      <w:r w:rsidRPr="00485DF6">
        <w:rPr>
          <w:rFonts w:asciiTheme="majorBidi" w:hAnsiTheme="majorBidi" w:cstheme="majorBidi"/>
          <w:b/>
          <w:bCs/>
          <w:sz w:val="28"/>
          <w:szCs w:val="28"/>
        </w:rPr>
        <w:t xml:space="preserve"> </w:t>
      </w:r>
      <w:r>
        <w:rPr>
          <w:rFonts w:asciiTheme="majorBidi" w:hAnsiTheme="majorBidi" w:cstheme="majorBidi"/>
          <w:b/>
          <w:bCs/>
          <w:sz w:val="28"/>
          <w:szCs w:val="28"/>
        </w:rPr>
        <w:t xml:space="preserve">del </w:t>
      </w:r>
      <w:r w:rsidRPr="00485DF6">
        <w:rPr>
          <w:rFonts w:asciiTheme="majorBidi" w:hAnsiTheme="majorBidi" w:cstheme="majorBidi"/>
          <w:b/>
          <w:bCs/>
          <w:sz w:val="28"/>
          <w:szCs w:val="28"/>
        </w:rPr>
        <w:t xml:space="preserve"> </w:t>
      </w:r>
      <w:r>
        <w:rPr>
          <w:rFonts w:asciiTheme="majorBidi" w:hAnsiTheme="majorBidi" w:cstheme="majorBidi"/>
          <w:b/>
          <w:bCs/>
          <w:sz w:val="28"/>
          <w:szCs w:val="28"/>
        </w:rPr>
        <w:t xml:space="preserve">lenguaje </w:t>
      </w:r>
      <w:r w:rsidRPr="00485DF6">
        <w:rPr>
          <w:rFonts w:asciiTheme="majorBidi" w:hAnsiTheme="majorBidi" w:cstheme="majorBidi"/>
          <w:b/>
          <w:bCs/>
          <w:sz w:val="28"/>
          <w:szCs w:val="28"/>
        </w:rPr>
        <w:t xml:space="preserve"> </w:t>
      </w:r>
      <w:r>
        <w:rPr>
          <w:rFonts w:asciiTheme="majorBidi" w:hAnsiTheme="majorBidi" w:cstheme="majorBidi"/>
          <w:b/>
          <w:bCs/>
          <w:sz w:val="28"/>
          <w:szCs w:val="28"/>
        </w:rPr>
        <w:t>terapéutico y estrategias comunicativas</w:t>
      </w:r>
      <w:r w:rsidRPr="00485DF6">
        <w:rPr>
          <w:rFonts w:asciiTheme="majorBidi" w:hAnsiTheme="majorBidi" w:cstheme="majorBidi"/>
          <w:b/>
          <w:bCs/>
          <w:sz w:val="28"/>
          <w:szCs w:val="28"/>
        </w:rPr>
        <w:t xml:space="preserve"> </w:t>
      </w:r>
    </w:p>
    <w:p w:rsidR="00417A5E" w:rsidRDefault="00417A5E" w:rsidP="00417A5E">
      <w:pPr>
        <w:tabs>
          <w:tab w:val="center" w:pos="4536"/>
        </w:tabs>
        <w:rPr>
          <w:rFonts w:asciiTheme="majorBidi" w:hAnsiTheme="majorBidi" w:cstheme="majorBidi"/>
          <w:b/>
          <w:bCs/>
          <w:sz w:val="28"/>
          <w:szCs w:val="28"/>
        </w:rPr>
      </w:pPr>
      <w:r>
        <w:rPr>
          <w:rFonts w:asciiTheme="majorBidi" w:hAnsiTheme="majorBidi" w:cstheme="majorBidi"/>
          <w:b/>
          <w:bCs/>
          <w:sz w:val="28"/>
          <w:szCs w:val="28"/>
        </w:rPr>
        <w:t xml:space="preserve">                                                       </w:t>
      </w:r>
    </w:p>
    <w:p w:rsidR="00417A5E" w:rsidRPr="00485DF6" w:rsidRDefault="00417A5E" w:rsidP="00417A5E">
      <w:pPr>
        <w:tabs>
          <w:tab w:val="center" w:pos="4536"/>
        </w:tabs>
        <w:rPr>
          <w:rFonts w:asciiTheme="majorBidi" w:hAnsiTheme="majorBidi" w:cstheme="majorBidi"/>
          <w:b/>
          <w:bCs/>
          <w:sz w:val="28"/>
          <w:szCs w:val="28"/>
        </w:rPr>
      </w:pPr>
      <w:r>
        <w:rPr>
          <w:rFonts w:asciiTheme="majorBidi" w:hAnsiTheme="majorBidi" w:cstheme="majorBidi"/>
          <w:b/>
          <w:bCs/>
          <w:sz w:val="28"/>
          <w:szCs w:val="28"/>
        </w:rPr>
        <w:t>2</w:t>
      </w:r>
      <w:r>
        <w:rPr>
          <w:rFonts w:asciiTheme="majorBidi" w:hAnsiTheme="majorBidi" w:cstheme="majorBidi"/>
          <w:b/>
          <w:bCs/>
          <w:sz w:val="28"/>
          <w:szCs w:val="28"/>
          <w:vertAlign w:val="superscript"/>
        </w:rPr>
        <w:t xml:space="preserve">a </w:t>
      </w:r>
      <w:r>
        <w:rPr>
          <w:rFonts w:asciiTheme="majorBidi" w:hAnsiTheme="majorBidi" w:cstheme="majorBidi"/>
          <w:b/>
          <w:bCs/>
          <w:sz w:val="28"/>
          <w:szCs w:val="28"/>
        </w:rPr>
        <w:t>clase</w:t>
      </w:r>
    </w:p>
    <w:p w:rsidR="00417A5E" w:rsidRPr="00485DF6" w:rsidRDefault="00417A5E" w:rsidP="00417A5E">
      <w:pPr>
        <w:rPr>
          <w:rFonts w:asciiTheme="majorBidi" w:hAnsiTheme="majorBidi" w:cstheme="majorBidi"/>
          <w:b/>
          <w:bCs/>
          <w:sz w:val="28"/>
          <w:szCs w:val="28"/>
        </w:rPr>
      </w:pPr>
      <w:r w:rsidRPr="00485DF6">
        <w:rPr>
          <w:rFonts w:asciiTheme="majorBidi" w:hAnsiTheme="majorBidi" w:cstheme="majorBidi"/>
          <w:b/>
          <w:bCs/>
          <w:sz w:val="28"/>
          <w:szCs w:val="28"/>
        </w:rPr>
        <w:t>I</w:t>
      </w:r>
      <w:r>
        <w:rPr>
          <w:rFonts w:asciiTheme="majorBidi" w:hAnsiTheme="majorBidi" w:cstheme="majorBidi"/>
          <w:b/>
          <w:bCs/>
          <w:sz w:val="28"/>
          <w:szCs w:val="28"/>
        </w:rPr>
        <w:t>mplicaniciones</w:t>
      </w:r>
      <w:r w:rsidRPr="00485DF6">
        <w:rPr>
          <w:rFonts w:asciiTheme="majorBidi" w:hAnsiTheme="majorBidi" w:cstheme="majorBidi"/>
          <w:b/>
          <w:bCs/>
          <w:sz w:val="28"/>
          <w:szCs w:val="28"/>
        </w:rPr>
        <w:t xml:space="preserve"> </w:t>
      </w:r>
      <w:r>
        <w:rPr>
          <w:rFonts w:asciiTheme="majorBidi" w:hAnsiTheme="majorBidi" w:cstheme="majorBidi"/>
          <w:b/>
          <w:bCs/>
          <w:sz w:val="28"/>
          <w:szCs w:val="28"/>
        </w:rPr>
        <w:t xml:space="preserve">del </w:t>
      </w:r>
      <w:r w:rsidRPr="00485DF6">
        <w:rPr>
          <w:rFonts w:asciiTheme="majorBidi" w:hAnsiTheme="majorBidi" w:cstheme="majorBidi"/>
          <w:b/>
          <w:bCs/>
          <w:sz w:val="28"/>
          <w:szCs w:val="28"/>
        </w:rPr>
        <w:t xml:space="preserve"> </w:t>
      </w:r>
      <w:r>
        <w:rPr>
          <w:rFonts w:asciiTheme="majorBidi" w:hAnsiTheme="majorBidi" w:cstheme="majorBidi"/>
          <w:b/>
          <w:bCs/>
          <w:sz w:val="28"/>
          <w:szCs w:val="28"/>
        </w:rPr>
        <w:t xml:space="preserve">lenguaje </w:t>
      </w:r>
      <w:r w:rsidRPr="00485DF6">
        <w:rPr>
          <w:rFonts w:asciiTheme="majorBidi" w:hAnsiTheme="majorBidi" w:cstheme="majorBidi"/>
          <w:b/>
          <w:bCs/>
          <w:sz w:val="28"/>
          <w:szCs w:val="28"/>
        </w:rPr>
        <w:t xml:space="preserve"> </w:t>
      </w:r>
      <w:r>
        <w:rPr>
          <w:rFonts w:asciiTheme="majorBidi" w:hAnsiTheme="majorBidi" w:cstheme="majorBidi"/>
          <w:b/>
          <w:bCs/>
          <w:sz w:val="28"/>
          <w:szCs w:val="28"/>
        </w:rPr>
        <w:t>terapéutico y estrategias comunicativas</w:t>
      </w:r>
      <w:r w:rsidRPr="00485DF6">
        <w:rPr>
          <w:rFonts w:asciiTheme="majorBidi" w:hAnsiTheme="majorBidi" w:cstheme="majorBidi"/>
          <w:b/>
          <w:bCs/>
          <w:sz w:val="28"/>
          <w:szCs w:val="28"/>
        </w:rPr>
        <w:t xml:space="preserve"> </w:t>
      </w:r>
    </w:p>
    <w:p w:rsidR="00417A5E" w:rsidRPr="006C60EA" w:rsidRDefault="00417A5E" w:rsidP="00417A5E">
      <w:pPr>
        <w:rPr>
          <w:rFonts w:asciiTheme="majorBidi" w:hAnsiTheme="majorBidi" w:cstheme="majorBidi"/>
          <w:b/>
          <w:bCs/>
          <w:sz w:val="28"/>
          <w:szCs w:val="28"/>
        </w:rPr>
      </w:pPr>
      <w:r w:rsidRPr="006C60EA">
        <w:rPr>
          <w:rFonts w:asciiTheme="majorBidi" w:hAnsiTheme="majorBidi" w:cstheme="majorBidi"/>
          <w:b/>
          <w:bCs/>
          <w:sz w:val="28"/>
          <w:szCs w:val="28"/>
        </w:rPr>
        <w:t xml:space="preserve">El Metamensaje </w:t>
      </w:r>
    </w:p>
    <w:p w:rsidR="00417A5E" w:rsidRPr="00BD18C0" w:rsidRDefault="00417A5E" w:rsidP="00417A5E">
      <w:pPr>
        <w:rPr>
          <w:rFonts w:asciiTheme="majorBidi" w:hAnsiTheme="majorBidi" w:cstheme="majorBidi"/>
          <w:sz w:val="28"/>
          <w:szCs w:val="28"/>
        </w:rPr>
      </w:pPr>
      <w:r w:rsidRPr="00BD18C0">
        <w:rPr>
          <w:rFonts w:asciiTheme="majorBidi" w:hAnsiTheme="majorBidi" w:cstheme="majorBidi"/>
          <w:sz w:val="28"/>
          <w:szCs w:val="28"/>
        </w:rPr>
        <w:t xml:space="preserve">Pero, ¿qué decimos los terapeutas?  Nos entrenamos más para observar las palabras del paciente, sus matices e inflexiones, el lenguaje corporal, su respiración, pero nuestras palabras no se tienen tanto en cuenta. </w:t>
      </w:r>
    </w:p>
    <w:p w:rsidR="00417A5E" w:rsidRPr="00BD18C0" w:rsidRDefault="00417A5E" w:rsidP="00417A5E">
      <w:pPr>
        <w:rPr>
          <w:rFonts w:asciiTheme="majorBidi" w:hAnsiTheme="majorBidi" w:cstheme="majorBidi"/>
          <w:sz w:val="28"/>
          <w:szCs w:val="28"/>
        </w:rPr>
      </w:pPr>
      <w:r w:rsidRPr="00BD18C0">
        <w:rPr>
          <w:rFonts w:asciiTheme="majorBidi" w:hAnsiTheme="majorBidi" w:cstheme="majorBidi"/>
          <w:sz w:val="28"/>
          <w:szCs w:val="28"/>
        </w:rPr>
        <w:t xml:space="preserve">En este apartado vamos a examinar justamente este aspecto, el cómo decimos lo que decimos y su implicación en el proceso terapéutico, las distintas formas de facilitación del proceso de darse cuenta desde nuestro lenguaje como terapeutas. No son tanto técnicas como consideraciones y actitudes comunicativas que se expresan de diversas maneras a lo largo del proceso terapéutico. </w:t>
      </w:r>
    </w:p>
    <w:p w:rsidR="00417A5E" w:rsidRPr="00BD18C0" w:rsidRDefault="00417A5E" w:rsidP="00417A5E">
      <w:pPr>
        <w:rPr>
          <w:rFonts w:asciiTheme="majorBidi" w:hAnsiTheme="majorBidi" w:cstheme="majorBidi"/>
          <w:sz w:val="28"/>
          <w:szCs w:val="28"/>
        </w:rPr>
      </w:pPr>
      <w:r w:rsidRPr="00BD18C0">
        <w:rPr>
          <w:rFonts w:asciiTheme="majorBidi" w:hAnsiTheme="majorBidi" w:cstheme="majorBidi"/>
          <w:sz w:val="28"/>
          <w:szCs w:val="28"/>
        </w:rPr>
        <w:t xml:space="preserve">El mensaje lleva unido un metamensaje (cómo, actitud) que debe ser consistente con los objetivos terapéuticos y donde descansa un gran potencial. El mensaje, sin un metamensaje bien construido, puede ser vivido como una intrusión peligrosa, y por tanto rechazable, de material extraño y provocar resistencia. </w:t>
      </w:r>
    </w:p>
    <w:p w:rsidR="00417A5E" w:rsidRPr="00BD18C0" w:rsidRDefault="00417A5E" w:rsidP="00417A5E">
      <w:pPr>
        <w:rPr>
          <w:rFonts w:asciiTheme="majorBidi" w:hAnsiTheme="majorBidi" w:cstheme="majorBidi"/>
          <w:sz w:val="28"/>
          <w:szCs w:val="28"/>
        </w:rPr>
      </w:pPr>
      <w:r w:rsidRPr="00BD18C0">
        <w:rPr>
          <w:rFonts w:asciiTheme="majorBidi" w:hAnsiTheme="majorBidi" w:cstheme="majorBidi"/>
          <w:sz w:val="28"/>
          <w:szCs w:val="28"/>
        </w:rPr>
        <w:t xml:space="preserve">Hay modos de decir las cosas y de efectuar devoluciones que suponen un mayor respeto por la autoestima del paciente, son facilitadoras del darse cuenta y producen una menor resistencia y esto se debe en gran parte a la fuerza del metamensaje y su papel como parte intrínseca y crucial del mensaje total trasmitido. </w:t>
      </w:r>
    </w:p>
    <w:p w:rsidR="00417A5E" w:rsidRPr="006C60EA" w:rsidRDefault="00417A5E" w:rsidP="00417A5E">
      <w:pPr>
        <w:rPr>
          <w:rFonts w:asciiTheme="majorBidi" w:hAnsiTheme="majorBidi" w:cstheme="majorBidi"/>
          <w:b/>
          <w:bCs/>
          <w:sz w:val="28"/>
          <w:szCs w:val="28"/>
        </w:rPr>
      </w:pPr>
      <w:r w:rsidRPr="006C60EA">
        <w:rPr>
          <w:rFonts w:asciiTheme="majorBidi" w:hAnsiTheme="majorBidi" w:cstheme="majorBidi"/>
          <w:b/>
          <w:bCs/>
          <w:sz w:val="28"/>
          <w:szCs w:val="28"/>
        </w:rPr>
        <w:t xml:space="preserve">Aceptación o rechazo </w:t>
      </w:r>
    </w:p>
    <w:p w:rsidR="00417A5E" w:rsidRDefault="00417A5E" w:rsidP="00417A5E">
      <w:pPr>
        <w:rPr>
          <w:rFonts w:asciiTheme="majorBidi" w:hAnsiTheme="majorBidi" w:cstheme="majorBidi"/>
          <w:sz w:val="28"/>
          <w:szCs w:val="28"/>
        </w:rPr>
      </w:pPr>
      <w:r w:rsidRPr="00BD18C0">
        <w:rPr>
          <w:rFonts w:asciiTheme="majorBidi" w:hAnsiTheme="majorBidi" w:cstheme="majorBidi"/>
          <w:sz w:val="28"/>
          <w:szCs w:val="28"/>
        </w:rPr>
        <w:t xml:space="preserve"> Las buenas devoluciones tienden a estar orientadas al permiso, a la aceptación.  Tratan un aspecto de la experiencia del paciente que éste ha ignorado o escondido y transmiten el mensaje de que está bien aceptar esa experiencia. Sin </w:t>
      </w:r>
      <w:r w:rsidRPr="00BD18C0">
        <w:rPr>
          <w:rFonts w:asciiTheme="majorBidi" w:hAnsiTheme="majorBidi" w:cstheme="majorBidi"/>
          <w:sz w:val="28"/>
          <w:szCs w:val="28"/>
        </w:rPr>
        <w:lastRenderedPageBreak/>
        <w:t xml:space="preserve">embargo, no es raro encontrar que muchas devoluciones conllevan una censura implícita.  </w:t>
      </w:r>
    </w:p>
    <w:p w:rsidR="00417A5E" w:rsidRDefault="00417A5E" w:rsidP="00417A5E">
      <w:pPr>
        <w:rPr>
          <w:rFonts w:asciiTheme="majorBidi" w:hAnsiTheme="majorBidi" w:cstheme="majorBidi"/>
          <w:b/>
          <w:bCs/>
          <w:sz w:val="28"/>
          <w:szCs w:val="28"/>
        </w:rPr>
      </w:pPr>
      <w:r w:rsidRPr="006C60EA">
        <w:rPr>
          <w:rFonts w:asciiTheme="majorBidi" w:hAnsiTheme="majorBidi" w:cstheme="majorBidi"/>
          <w:b/>
          <w:bCs/>
          <w:sz w:val="28"/>
          <w:szCs w:val="28"/>
        </w:rPr>
        <w:t xml:space="preserve">Explorar o intervenir </w:t>
      </w:r>
    </w:p>
    <w:p w:rsidR="00417A5E" w:rsidRPr="00BD18C0" w:rsidRDefault="00417A5E" w:rsidP="00417A5E">
      <w:pPr>
        <w:rPr>
          <w:rFonts w:asciiTheme="majorBidi" w:hAnsiTheme="majorBidi" w:cstheme="majorBidi"/>
          <w:sz w:val="28"/>
          <w:szCs w:val="28"/>
        </w:rPr>
      </w:pPr>
      <w:r w:rsidRPr="00BD18C0">
        <w:rPr>
          <w:rFonts w:asciiTheme="majorBidi" w:hAnsiTheme="majorBidi" w:cstheme="majorBidi"/>
          <w:sz w:val="28"/>
          <w:szCs w:val="28"/>
        </w:rPr>
        <w:t xml:space="preserve">En abordajes como el nuestro, a veces es difícil distinguir realmente entre las fases  de exploración e intervención. En gran medida la exploración es la intervención: la terapia indaga más y más profundamente en la experiencia de la persona con el fin de aumentar la comprensión de sí misma. También en la exploración o análisis existen formas de decir las cosas facilitadoras y no facilitadoras. Los comentarios formulados en forma de preguntas pueden tener connotaciones acusadoras o exculpatorias. El arte de preguntar en terapia consiste en  acercar al paciente gradualmente a un terreno que ha temido afrontar hasta el momento. Al hacer esto la manera concreta en que el terapeuta formula la pregunta puede marcar una diferencia crucial. </w:t>
      </w:r>
    </w:p>
    <w:p w:rsidR="00417A5E" w:rsidRPr="006C60EA" w:rsidRDefault="00417A5E" w:rsidP="00417A5E">
      <w:pPr>
        <w:rPr>
          <w:rFonts w:asciiTheme="majorBidi" w:hAnsiTheme="majorBidi" w:cstheme="majorBidi"/>
          <w:b/>
          <w:bCs/>
          <w:sz w:val="28"/>
          <w:szCs w:val="28"/>
        </w:rPr>
      </w:pPr>
      <w:r w:rsidRPr="006C60EA">
        <w:rPr>
          <w:rFonts w:asciiTheme="majorBidi" w:hAnsiTheme="majorBidi" w:cstheme="majorBidi"/>
          <w:b/>
          <w:bCs/>
          <w:sz w:val="28"/>
          <w:szCs w:val="28"/>
        </w:rPr>
        <w:t xml:space="preserve">Los recursos internos </w:t>
      </w:r>
    </w:p>
    <w:p w:rsidR="00417A5E" w:rsidRPr="00BD18C0" w:rsidRDefault="00417A5E" w:rsidP="00417A5E">
      <w:pPr>
        <w:rPr>
          <w:rFonts w:asciiTheme="majorBidi" w:hAnsiTheme="majorBidi" w:cstheme="majorBidi"/>
          <w:sz w:val="28"/>
          <w:szCs w:val="28"/>
        </w:rPr>
      </w:pPr>
      <w:r w:rsidRPr="00BD18C0">
        <w:rPr>
          <w:rFonts w:asciiTheme="majorBidi" w:hAnsiTheme="majorBidi" w:cstheme="majorBidi"/>
          <w:sz w:val="28"/>
          <w:szCs w:val="28"/>
        </w:rPr>
        <w:t xml:space="preserve">Desde la Gestalt, la orientación de los esfuerzos terapéuticos hacia la afirmación y utilización de las potencialidades del paciente no implica que se ignoren las dificultades, los puntos débiles, las inhibiciones, que desempeñan un papel de primer orden en los problemas que le trajeron a consulta. La persona del terapeuta debe tener una visión clara de las potencialidades del paciente. Es sobre estas potencialidades que se edificará el progreso terapéutico. </w:t>
      </w:r>
    </w:p>
    <w:p w:rsidR="00417A5E" w:rsidRPr="00BD18C0" w:rsidRDefault="00417A5E" w:rsidP="00417A5E">
      <w:pPr>
        <w:rPr>
          <w:rFonts w:asciiTheme="majorBidi" w:hAnsiTheme="majorBidi" w:cstheme="majorBidi"/>
          <w:sz w:val="28"/>
          <w:szCs w:val="28"/>
        </w:rPr>
      </w:pPr>
      <w:r w:rsidRPr="00BD18C0">
        <w:rPr>
          <w:rFonts w:asciiTheme="majorBidi" w:hAnsiTheme="majorBidi" w:cstheme="majorBidi"/>
          <w:sz w:val="28"/>
          <w:szCs w:val="28"/>
        </w:rPr>
        <w:t xml:space="preserve">La terapia es un proceso de cambio. El paciente es una persona en transición. Se debe salvar su tendencia a pensarse en términos estáticos. Nuestros comentarios pueden facilitar o dificultar la sensación del paciente de que el cambio es posible, contribuyendo a crear en él el sentimiento de estar anclado, o, por el contrario, pueden alentarle a imaginarse para sí mismo alternativas de futuro variadas. </w:t>
      </w:r>
    </w:p>
    <w:p w:rsidR="00417A5E" w:rsidRPr="006C60EA" w:rsidRDefault="00417A5E" w:rsidP="00417A5E">
      <w:pPr>
        <w:rPr>
          <w:rFonts w:asciiTheme="majorBidi" w:hAnsiTheme="majorBidi" w:cstheme="majorBidi"/>
          <w:b/>
          <w:bCs/>
          <w:sz w:val="28"/>
          <w:szCs w:val="28"/>
        </w:rPr>
      </w:pPr>
      <w:r w:rsidRPr="006C60EA">
        <w:rPr>
          <w:rFonts w:asciiTheme="majorBidi" w:hAnsiTheme="majorBidi" w:cstheme="majorBidi"/>
          <w:b/>
          <w:bCs/>
          <w:sz w:val="28"/>
          <w:szCs w:val="28"/>
        </w:rPr>
        <w:t>Dos polos del proceso: la aceptación y el cambio</w:t>
      </w:r>
    </w:p>
    <w:p w:rsidR="00417A5E" w:rsidRPr="00BD18C0" w:rsidRDefault="00417A5E" w:rsidP="00417A5E">
      <w:pPr>
        <w:rPr>
          <w:rFonts w:asciiTheme="majorBidi" w:hAnsiTheme="majorBidi" w:cstheme="majorBidi"/>
          <w:sz w:val="28"/>
          <w:szCs w:val="28"/>
        </w:rPr>
      </w:pPr>
      <w:r w:rsidRPr="00BD18C0">
        <w:rPr>
          <w:rFonts w:asciiTheme="majorBidi" w:hAnsiTheme="majorBidi" w:cstheme="majorBidi"/>
          <w:sz w:val="28"/>
          <w:szCs w:val="28"/>
        </w:rPr>
        <w:t xml:space="preserve"> Como terapeutas nos encontramos con un gran desafío a la hora de la reconciliación entre el cambio y la aceptación, dos polos conflictivos en el procesos terapéutico. </w:t>
      </w:r>
    </w:p>
    <w:p w:rsidR="00417A5E" w:rsidRPr="00BD18C0" w:rsidRDefault="00417A5E" w:rsidP="00417A5E">
      <w:pPr>
        <w:rPr>
          <w:rFonts w:asciiTheme="majorBidi" w:hAnsiTheme="majorBidi" w:cstheme="majorBidi"/>
          <w:sz w:val="28"/>
          <w:szCs w:val="28"/>
        </w:rPr>
      </w:pPr>
      <w:r w:rsidRPr="00BD18C0">
        <w:rPr>
          <w:rFonts w:asciiTheme="majorBidi" w:hAnsiTheme="majorBidi" w:cstheme="majorBidi"/>
          <w:sz w:val="28"/>
          <w:szCs w:val="28"/>
        </w:rPr>
        <w:t xml:space="preserve">La mayoría de nosotros luchamos por poder reconciliar los dos polos del proceso terapéutico, unas veces apoyaremos más uno de ellos y otras el otro, pero siempre intentaremos que el proceso no limite o reduzca demasiado ninguna de las dos direcciones. </w:t>
      </w:r>
    </w:p>
    <w:p w:rsidR="00417A5E" w:rsidRPr="00BD18C0" w:rsidRDefault="00417A5E" w:rsidP="00417A5E">
      <w:pPr>
        <w:rPr>
          <w:rFonts w:asciiTheme="majorBidi" w:hAnsiTheme="majorBidi" w:cstheme="majorBidi"/>
          <w:sz w:val="28"/>
          <w:szCs w:val="28"/>
        </w:rPr>
      </w:pPr>
      <w:r w:rsidRPr="00BD18C0">
        <w:rPr>
          <w:rFonts w:asciiTheme="majorBidi" w:hAnsiTheme="majorBidi" w:cstheme="majorBidi"/>
          <w:sz w:val="28"/>
          <w:szCs w:val="28"/>
        </w:rPr>
        <w:t xml:space="preserve">Siempre, o casi siempre, hay un deseo de mantenernos igual que hasta ahora junto a un deseo de cambio, y esto es lo que le da intensidad al fenómeno de la </w:t>
      </w:r>
      <w:r w:rsidRPr="00BD18C0">
        <w:rPr>
          <w:rFonts w:asciiTheme="majorBidi" w:hAnsiTheme="majorBidi" w:cstheme="majorBidi"/>
          <w:sz w:val="28"/>
          <w:szCs w:val="28"/>
        </w:rPr>
        <w:lastRenderedPageBreak/>
        <w:t xml:space="preserve">resistencia y lo que posibilita que se le pueda prestar atención sin por ello dejar de empatizar con la experiencia que tiene el paciente del mundo.  </w:t>
      </w:r>
    </w:p>
    <w:p w:rsidR="00417A5E" w:rsidRPr="00745661" w:rsidRDefault="00417A5E" w:rsidP="00417A5E">
      <w:pPr>
        <w:rPr>
          <w:rFonts w:asciiTheme="majorBidi" w:hAnsiTheme="majorBidi" w:cstheme="majorBidi"/>
          <w:b/>
          <w:bCs/>
          <w:sz w:val="28"/>
          <w:szCs w:val="28"/>
        </w:rPr>
      </w:pPr>
      <w:r w:rsidRPr="00745661">
        <w:rPr>
          <w:rFonts w:asciiTheme="majorBidi" w:hAnsiTheme="majorBidi" w:cstheme="majorBidi"/>
          <w:b/>
          <w:bCs/>
          <w:sz w:val="28"/>
          <w:szCs w:val="28"/>
        </w:rPr>
        <w:t>Atribuciones</w:t>
      </w:r>
    </w:p>
    <w:p w:rsidR="00417A5E" w:rsidRPr="00BD18C0" w:rsidRDefault="00417A5E" w:rsidP="00417A5E">
      <w:pPr>
        <w:rPr>
          <w:rFonts w:asciiTheme="majorBidi" w:hAnsiTheme="majorBidi" w:cstheme="majorBidi"/>
          <w:sz w:val="28"/>
          <w:szCs w:val="28"/>
        </w:rPr>
      </w:pPr>
      <w:r w:rsidRPr="00BD18C0">
        <w:rPr>
          <w:rFonts w:asciiTheme="majorBidi" w:hAnsiTheme="majorBidi" w:cstheme="majorBidi"/>
          <w:sz w:val="28"/>
          <w:szCs w:val="28"/>
        </w:rPr>
        <w:t xml:space="preserve"> Las atribuciones son los estados o sentimientos que atribuimos al paciente que no han salido durante la sesión y que en determinadas ocasiones pueden resultar útiles. </w:t>
      </w:r>
    </w:p>
    <w:p w:rsidR="00417A5E" w:rsidRPr="00BD18C0" w:rsidRDefault="00417A5E" w:rsidP="00417A5E">
      <w:pPr>
        <w:rPr>
          <w:rFonts w:asciiTheme="majorBidi" w:hAnsiTheme="majorBidi" w:cstheme="majorBidi"/>
          <w:sz w:val="28"/>
          <w:szCs w:val="28"/>
        </w:rPr>
      </w:pPr>
      <w:r w:rsidRPr="00BD18C0">
        <w:rPr>
          <w:rFonts w:asciiTheme="majorBidi" w:hAnsiTheme="majorBidi" w:cstheme="majorBidi"/>
          <w:sz w:val="28"/>
          <w:szCs w:val="28"/>
        </w:rPr>
        <w:t xml:space="preserve">Este tipo de devoluciones nos coloca al lado del paciente, viendo algo con él, reconociendo que es algo que él ya sabía y por lo tanto se está comentando algo que es del conocimiento común de los dos. Esto incluye frases como por lo que veo te das cuenta de..., si te he entendido bien, lo que estás diciendo es..., etc. </w:t>
      </w:r>
    </w:p>
    <w:p w:rsidR="00417A5E" w:rsidRPr="00745661" w:rsidRDefault="00417A5E" w:rsidP="00417A5E">
      <w:pPr>
        <w:rPr>
          <w:rFonts w:asciiTheme="majorBidi" w:hAnsiTheme="majorBidi" w:cstheme="majorBidi"/>
          <w:b/>
          <w:bCs/>
          <w:sz w:val="28"/>
          <w:szCs w:val="28"/>
        </w:rPr>
      </w:pPr>
      <w:r w:rsidRPr="00745661">
        <w:rPr>
          <w:rFonts w:asciiTheme="majorBidi" w:hAnsiTheme="majorBidi" w:cstheme="majorBidi"/>
          <w:b/>
          <w:bCs/>
          <w:sz w:val="28"/>
          <w:szCs w:val="28"/>
        </w:rPr>
        <w:t>Resaltando la temporalidad</w:t>
      </w:r>
    </w:p>
    <w:p w:rsidR="00417A5E" w:rsidRPr="00BD18C0" w:rsidRDefault="00417A5E" w:rsidP="00417A5E">
      <w:pPr>
        <w:rPr>
          <w:rFonts w:asciiTheme="majorBidi" w:hAnsiTheme="majorBidi" w:cstheme="majorBidi"/>
          <w:sz w:val="28"/>
          <w:szCs w:val="28"/>
        </w:rPr>
      </w:pPr>
      <w:r w:rsidRPr="00BD18C0">
        <w:rPr>
          <w:rFonts w:asciiTheme="majorBidi" w:hAnsiTheme="majorBidi" w:cstheme="majorBidi"/>
          <w:sz w:val="28"/>
          <w:szCs w:val="28"/>
        </w:rPr>
        <w:t xml:space="preserve"> Durante el proceso terapéutico se van dando etapas de más y de menos ansiedad. Nosotros podemos expresar nuestra comprensión orientando nuestras intervenciones hacia el futuro, haciendo devoluciones que describan esas etapas de mayor ansiedad como temporales. </w:t>
      </w:r>
    </w:p>
    <w:p w:rsidR="00417A5E" w:rsidRPr="00BD18C0" w:rsidRDefault="00417A5E" w:rsidP="00417A5E">
      <w:pPr>
        <w:rPr>
          <w:rFonts w:asciiTheme="majorBidi" w:hAnsiTheme="majorBidi" w:cstheme="majorBidi"/>
          <w:sz w:val="28"/>
          <w:szCs w:val="28"/>
        </w:rPr>
      </w:pPr>
      <w:r w:rsidRPr="00BD18C0">
        <w:rPr>
          <w:rFonts w:asciiTheme="majorBidi" w:hAnsiTheme="majorBidi" w:cstheme="majorBidi"/>
          <w:sz w:val="28"/>
          <w:szCs w:val="28"/>
        </w:rPr>
        <w:t xml:space="preserve">También se le puede decir que ha entrado en un momento del proceso en el que se espera surja más ansiedad. Aquí se le ayuda a que se dé cuenta de que el momento es «una etapa» y por lo tanto  pasará y además de que la ansiedad es «algo que se espera» por lo que se puede tomar, en lugar de como un problema, como una señal de que el proceso progresa. </w:t>
      </w:r>
    </w:p>
    <w:p w:rsidR="00417A5E" w:rsidRPr="00745661" w:rsidRDefault="00417A5E" w:rsidP="00417A5E">
      <w:pPr>
        <w:rPr>
          <w:rFonts w:asciiTheme="majorBidi" w:hAnsiTheme="majorBidi" w:cstheme="majorBidi"/>
          <w:b/>
          <w:bCs/>
          <w:sz w:val="28"/>
          <w:szCs w:val="28"/>
        </w:rPr>
      </w:pPr>
      <w:r w:rsidRPr="00745661">
        <w:rPr>
          <w:rFonts w:asciiTheme="majorBidi" w:hAnsiTheme="majorBidi" w:cstheme="majorBidi"/>
          <w:b/>
          <w:bCs/>
          <w:sz w:val="28"/>
          <w:szCs w:val="28"/>
        </w:rPr>
        <w:t>Movilizar a la acción</w:t>
      </w:r>
    </w:p>
    <w:p w:rsidR="00417A5E" w:rsidRDefault="00417A5E" w:rsidP="00417A5E">
      <w:pPr>
        <w:rPr>
          <w:rFonts w:asciiTheme="majorBidi" w:hAnsiTheme="majorBidi" w:cstheme="majorBidi"/>
          <w:sz w:val="28"/>
          <w:szCs w:val="28"/>
        </w:rPr>
      </w:pPr>
      <w:r w:rsidRPr="00BD18C0">
        <w:rPr>
          <w:rFonts w:asciiTheme="majorBidi" w:hAnsiTheme="majorBidi" w:cstheme="majorBidi"/>
          <w:sz w:val="28"/>
          <w:szCs w:val="28"/>
        </w:rPr>
        <w:t xml:space="preserve"> Las atribuciones también pueden utilizarse para ayudar al paciente a que emprenda alguna acción que le lleve a cerrar una gestalt inconclusa, esos casos en los que se ha quedado sin decir algo que se convierten en rumiaciones, o iniciar una acción concreta que no se atreve a llevar a cabo. Los comentarios del tipo parece como si lo que te gustaría decir (hacer) fuera...  ayudan al paciente a darse cuenta de los sentimientos e inclinaciones que no logran acceder del todo a la consciencia y le ayudan a vincular esos sentimientos y tendencias para posibilitar acciones eficaces hacia completar las gestalts inconclusas.  </w:t>
      </w:r>
    </w:p>
    <w:p w:rsidR="00417A5E" w:rsidRPr="00745661" w:rsidRDefault="00417A5E" w:rsidP="00417A5E">
      <w:pPr>
        <w:rPr>
          <w:rFonts w:asciiTheme="majorBidi" w:hAnsiTheme="majorBidi" w:cstheme="majorBidi"/>
          <w:b/>
          <w:bCs/>
          <w:sz w:val="28"/>
          <w:szCs w:val="28"/>
        </w:rPr>
      </w:pPr>
      <w:r w:rsidRPr="00745661">
        <w:rPr>
          <w:rFonts w:asciiTheme="majorBidi" w:hAnsiTheme="majorBidi" w:cstheme="majorBidi"/>
          <w:b/>
          <w:bCs/>
          <w:sz w:val="28"/>
          <w:szCs w:val="28"/>
        </w:rPr>
        <w:t xml:space="preserve">Preguntas al terapeuta ¿se responden? </w:t>
      </w:r>
    </w:p>
    <w:p w:rsidR="00417A5E" w:rsidRPr="00BD18C0" w:rsidRDefault="00417A5E" w:rsidP="00417A5E">
      <w:pPr>
        <w:rPr>
          <w:rFonts w:asciiTheme="majorBidi" w:hAnsiTheme="majorBidi" w:cstheme="majorBidi"/>
          <w:sz w:val="28"/>
          <w:szCs w:val="28"/>
        </w:rPr>
      </w:pPr>
      <w:r w:rsidRPr="00BD18C0">
        <w:rPr>
          <w:rFonts w:asciiTheme="majorBidi" w:hAnsiTheme="majorBidi" w:cstheme="majorBidi"/>
          <w:sz w:val="28"/>
          <w:szCs w:val="28"/>
        </w:rPr>
        <w:t xml:space="preserve">Hay momentos que para algunos terapeutas resultan verdaderamente difíciles, que son cuando un paciente les pregunta algo sobre ellos. Hay otros terapeutas que piensan que el revelar cosas sobre ellos, compartir con el paciente sus propios sentimientos y experiencias, ayuda a éste a recibir las devoluciones que </w:t>
      </w:r>
      <w:r w:rsidRPr="00BD18C0">
        <w:rPr>
          <w:rFonts w:asciiTheme="majorBidi" w:hAnsiTheme="majorBidi" w:cstheme="majorBidi"/>
          <w:sz w:val="28"/>
          <w:szCs w:val="28"/>
        </w:rPr>
        <w:lastRenderedPageBreak/>
        <w:t xml:space="preserve">se le hace de un modo menos defensivo o que incluso le resulten menos dolorosas.  </w:t>
      </w:r>
    </w:p>
    <w:p w:rsidR="00417A5E" w:rsidRPr="00BD18C0" w:rsidRDefault="00417A5E" w:rsidP="00417A5E">
      <w:pPr>
        <w:rPr>
          <w:rFonts w:asciiTheme="majorBidi" w:hAnsiTheme="majorBidi" w:cstheme="majorBidi"/>
          <w:sz w:val="28"/>
          <w:szCs w:val="28"/>
        </w:rPr>
      </w:pPr>
      <w:r w:rsidRPr="00BD18C0">
        <w:rPr>
          <w:rFonts w:asciiTheme="majorBidi" w:hAnsiTheme="majorBidi" w:cstheme="majorBidi"/>
          <w:sz w:val="28"/>
          <w:szCs w:val="28"/>
        </w:rPr>
        <w:t xml:space="preserve">Pero, ¿hasta dónde llega la relación y presencia congruente del terapeuta? Cuando un paciente pregunta, el modo de responderle depende de la función que puedan cumplir esa pregunta; por ejemplo, cuando un paciente normalmente desplaza su responsabilidad y la coloca en otros se debe tener en cuenta este posible desplazamiento del foco de atención hacia el terapeuta; ahora bien, si el paciente es una persona tímida, que tiene problemas para pedir algo, o que no se atreve a preguntar por no parecer invasivo, entonces el responderle a una pregunta del tipo ¿tienes pareja? o ¿vas a salir este puente? puede ser un momento de intimidad que sea importante reforzar. </w:t>
      </w:r>
    </w:p>
    <w:p w:rsidR="00417A5E" w:rsidRPr="00745661" w:rsidRDefault="00417A5E" w:rsidP="00417A5E">
      <w:pPr>
        <w:rPr>
          <w:rFonts w:asciiTheme="majorBidi" w:hAnsiTheme="majorBidi" w:cstheme="majorBidi"/>
          <w:b/>
          <w:bCs/>
          <w:sz w:val="28"/>
          <w:szCs w:val="28"/>
        </w:rPr>
      </w:pPr>
      <w:r w:rsidRPr="00745661">
        <w:rPr>
          <w:rFonts w:asciiTheme="majorBidi" w:hAnsiTheme="majorBidi" w:cstheme="majorBidi"/>
          <w:b/>
          <w:bCs/>
          <w:sz w:val="28"/>
          <w:szCs w:val="28"/>
        </w:rPr>
        <w:t xml:space="preserve">Reconstrucción </w:t>
      </w:r>
    </w:p>
    <w:p w:rsidR="00417A5E" w:rsidRPr="00BD18C0" w:rsidRDefault="00417A5E" w:rsidP="00417A5E">
      <w:pPr>
        <w:rPr>
          <w:rFonts w:asciiTheme="majorBidi" w:hAnsiTheme="majorBidi" w:cstheme="majorBidi"/>
          <w:sz w:val="28"/>
          <w:szCs w:val="28"/>
        </w:rPr>
      </w:pPr>
      <w:r w:rsidRPr="00BD18C0">
        <w:rPr>
          <w:rFonts w:asciiTheme="majorBidi" w:hAnsiTheme="majorBidi" w:cstheme="majorBidi"/>
          <w:sz w:val="28"/>
          <w:szCs w:val="28"/>
        </w:rPr>
        <w:t xml:space="preserve">Durante la sesión  ayudamos al paciente en un proceso de replanteamiento, en un proceso de poder entender cómo es, que, como decía Rogers (1961) guarde más consonancia con su experiencia vivida. </w:t>
      </w:r>
    </w:p>
    <w:p w:rsidR="00417A5E" w:rsidRPr="00BD18C0" w:rsidRDefault="00417A5E" w:rsidP="00417A5E">
      <w:pPr>
        <w:rPr>
          <w:rFonts w:asciiTheme="majorBidi" w:hAnsiTheme="majorBidi" w:cstheme="majorBidi"/>
          <w:sz w:val="28"/>
          <w:szCs w:val="28"/>
        </w:rPr>
      </w:pPr>
      <w:r w:rsidRPr="00BD18C0">
        <w:rPr>
          <w:rFonts w:asciiTheme="majorBidi" w:hAnsiTheme="majorBidi" w:cstheme="majorBidi"/>
          <w:sz w:val="28"/>
          <w:szCs w:val="28"/>
        </w:rPr>
        <w:t xml:space="preserve">Se potencia ese proceso de reconstrucción cuando estamos atentos a apoyar o confrontar esas ocasiones en las que los pacientes hacen las cosas de manera diferente. Devoluciones como parece que esta vez sí le has dicho a Juan lo que tú querías, noto que has dejado de ir tan a menudo a ver a María últimamente, antes te callabas cuando algo no te gustaba y ahora te atreves a decírmelo directamente, etc. son comentarios que pueden hacer que el paciente se dé cuenta de que hay un cambio que, al estar dentro de la dinámica diaria, podría pasar inadvertido, y pueden conseguir que se agilice el proceso. </w:t>
      </w:r>
    </w:p>
    <w:p w:rsidR="00417A5E" w:rsidRPr="00745661" w:rsidRDefault="00417A5E" w:rsidP="00417A5E">
      <w:pPr>
        <w:rPr>
          <w:rFonts w:asciiTheme="majorBidi" w:hAnsiTheme="majorBidi" w:cstheme="majorBidi"/>
          <w:b/>
          <w:bCs/>
          <w:sz w:val="28"/>
          <w:szCs w:val="28"/>
        </w:rPr>
      </w:pPr>
      <w:r w:rsidRPr="00745661">
        <w:rPr>
          <w:rFonts w:asciiTheme="majorBidi" w:hAnsiTheme="majorBidi" w:cstheme="majorBidi"/>
          <w:b/>
          <w:bCs/>
          <w:sz w:val="28"/>
          <w:szCs w:val="28"/>
        </w:rPr>
        <w:t>Reformulación y paradoja</w:t>
      </w:r>
    </w:p>
    <w:p w:rsidR="00417A5E" w:rsidRPr="00BD18C0" w:rsidRDefault="00417A5E" w:rsidP="00417A5E">
      <w:pPr>
        <w:rPr>
          <w:rFonts w:asciiTheme="majorBidi" w:hAnsiTheme="majorBidi" w:cstheme="majorBidi"/>
          <w:sz w:val="28"/>
          <w:szCs w:val="28"/>
        </w:rPr>
      </w:pPr>
      <w:r w:rsidRPr="00BD18C0">
        <w:rPr>
          <w:rFonts w:asciiTheme="majorBidi" w:hAnsiTheme="majorBidi" w:cstheme="majorBidi"/>
          <w:sz w:val="28"/>
          <w:szCs w:val="28"/>
        </w:rPr>
        <w:t xml:space="preserve"> Cada uno de nosotros respondemos a lo que percibimos que está sucediendo, no sólo a lo que realmente está ocurriendo, ya que hay tantas percepciones del mundo como personas viven en él. La reformulación puede ser una construcción de la realidad desde diferentes puntos de vista, para buscar una forma más válida de comprender el patrón de vida. Una reformulación puede ser una manera de dar significado a un evento psicológico y apunta a una solución potencial de los dilemas que se presentan sin solución aparente. </w:t>
      </w:r>
    </w:p>
    <w:p w:rsidR="00417A5E" w:rsidRPr="00BD18C0" w:rsidRDefault="00417A5E" w:rsidP="00417A5E">
      <w:pPr>
        <w:rPr>
          <w:rFonts w:asciiTheme="majorBidi" w:hAnsiTheme="majorBidi" w:cstheme="majorBidi"/>
          <w:sz w:val="28"/>
          <w:szCs w:val="28"/>
        </w:rPr>
      </w:pPr>
      <w:r w:rsidRPr="00BD18C0">
        <w:rPr>
          <w:rFonts w:asciiTheme="majorBidi" w:hAnsiTheme="majorBidi" w:cstheme="majorBidi"/>
          <w:sz w:val="28"/>
          <w:szCs w:val="28"/>
        </w:rPr>
        <w:t xml:space="preserve">Rogers ya demostró las inducciones positivas de la reformulación, que, bien empleada, puede provocar el darse cuenta en la persona. Siguiendo a Rogers podemos nombrar cinco formas de reformulación: Reformulación-reflejo, Reformulación-síntesis, Reformulación por inversión de las relaciones figura-fondo, Reformulación-clarificación, Reformulación del paralenguaje. </w:t>
      </w:r>
    </w:p>
    <w:p w:rsidR="00417A5E" w:rsidRPr="00BD18C0" w:rsidRDefault="00417A5E" w:rsidP="00417A5E">
      <w:pPr>
        <w:rPr>
          <w:rFonts w:asciiTheme="majorBidi" w:hAnsiTheme="majorBidi" w:cstheme="majorBidi"/>
          <w:sz w:val="28"/>
          <w:szCs w:val="28"/>
        </w:rPr>
      </w:pPr>
      <w:r w:rsidRPr="00BD18C0">
        <w:rPr>
          <w:rFonts w:asciiTheme="majorBidi" w:hAnsiTheme="majorBidi" w:cstheme="majorBidi"/>
          <w:sz w:val="28"/>
          <w:szCs w:val="28"/>
        </w:rPr>
        <w:lastRenderedPageBreak/>
        <w:t xml:space="preserve">La paradoja según el diccionario es una «figura de pensamiento que consiste en emplear expresiones o frases que envuelven contradicción».  </w:t>
      </w:r>
    </w:p>
    <w:p w:rsidR="00417A5E" w:rsidRPr="00BD18C0" w:rsidRDefault="00417A5E" w:rsidP="00417A5E">
      <w:pPr>
        <w:rPr>
          <w:rFonts w:asciiTheme="majorBidi" w:hAnsiTheme="majorBidi" w:cstheme="majorBidi"/>
          <w:sz w:val="28"/>
          <w:szCs w:val="28"/>
        </w:rPr>
      </w:pPr>
      <w:r w:rsidRPr="00BD18C0">
        <w:rPr>
          <w:rFonts w:asciiTheme="majorBidi" w:hAnsiTheme="majorBidi" w:cstheme="majorBidi"/>
          <w:sz w:val="28"/>
          <w:szCs w:val="28"/>
        </w:rPr>
        <w:t xml:space="preserve">Uno de los objetivos principales de las intervenciones paradójicas es ayudar a la persona a que deje los intentos de solucionar un problema que al final acaba empeorando (en definitiva esos intentos de solución que son en sí mismos paradójicos) por ejemplo: los intentos de dormirse de los insomnes que al final le hacen pasar la noche en vigilia, o los intentos que hacen los ansiosos por calmar la ansiedad que en muchas ocasiones lo que hacen es provocarla mientras que si se esforzaran en estar más ansiosos cabría la posibilidad de que se calmasen. </w:t>
      </w:r>
    </w:p>
    <w:p w:rsidR="00417A5E" w:rsidRPr="00BD18C0" w:rsidRDefault="00417A5E" w:rsidP="00417A5E">
      <w:pPr>
        <w:rPr>
          <w:rFonts w:asciiTheme="majorBidi" w:hAnsiTheme="majorBidi" w:cstheme="majorBidi"/>
          <w:sz w:val="28"/>
          <w:szCs w:val="28"/>
        </w:rPr>
      </w:pPr>
      <w:r w:rsidRPr="00BD18C0">
        <w:rPr>
          <w:rFonts w:asciiTheme="majorBidi" w:hAnsiTheme="majorBidi" w:cstheme="majorBidi"/>
          <w:sz w:val="28"/>
          <w:szCs w:val="28"/>
        </w:rPr>
        <w:t xml:space="preserve">Muchas veces utilizamos en la consulta técnicas paradójicas, por ejemplo: cuando le pedimos al paciente que incremente un movimiento o conducta que está llevando a cabo, o en otros casos tan sólo hace falta que le digamos que observe lo que está haciendo. Estas peticiones en sí mismas cambian la conducta y de ser una «intrusa» pasa a ser observable y se puede convertir en un elemento importante para un darse cuenta. Una intervención así se puede hacer de la siguiente manera: No pares ese movimiento ahora, vamos a ver qué significa o con qué se relaciona y mira cuándo lo llevas a cabo.  </w:t>
      </w:r>
    </w:p>
    <w:p w:rsidR="00417A5E" w:rsidRDefault="00417A5E" w:rsidP="00417A5E">
      <w:pPr>
        <w:rPr>
          <w:rFonts w:asciiTheme="majorBidi" w:hAnsiTheme="majorBidi" w:cstheme="majorBidi"/>
          <w:b/>
          <w:bCs/>
          <w:sz w:val="28"/>
          <w:szCs w:val="28"/>
        </w:rPr>
      </w:pPr>
      <w:r w:rsidRPr="00745661">
        <w:rPr>
          <w:rFonts w:asciiTheme="majorBidi" w:hAnsiTheme="majorBidi" w:cstheme="majorBidi"/>
          <w:b/>
          <w:bCs/>
          <w:sz w:val="28"/>
          <w:szCs w:val="28"/>
        </w:rPr>
        <w:t>LO NO VERBAL</w:t>
      </w:r>
    </w:p>
    <w:p w:rsidR="00417A5E" w:rsidRPr="00BD18C0" w:rsidRDefault="00417A5E" w:rsidP="00417A5E">
      <w:pPr>
        <w:rPr>
          <w:rFonts w:asciiTheme="majorBidi" w:hAnsiTheme="majorBidi" w:cstheme="majorBidi"/>
          <w:sz w:val="28"/>
          <w:szCs w:val="28"/>
        </w:rPr>
      </w:pPr>
      <w:r w:rsidRPr="00745661">
        <w:rPr>
          <w:rFonts w:asciiTheme="majorBidi" w:hAnsiTheme="majorBidi" w:cstheme="majorBidi"/>
          <w:sz w:val="28"/>
          <w:szCs w:val="28"/>
        </w:rPr>
        <w:t xml:space="preserve"> La Gestalt </w:t>
      </w:r>
      <w:r w:rsidRPr="00BD18C0">
        <w:rPr>
          <w:rFonts w:asciiTheme="majorBidi" w:hAnsiTheme="majorBidi" w:cstheme="majorBidi"/>
          <w:sz w:val="28"/>
          <w:szCs w:val="28"/>
        </w:rPr>
        <w:t xml:space="preserve">no es fundamentalmente una terapia psicocorporal, contrario a una opinión muy extendida, y para muchas escuelas el trabajo sigue siendo esencialmente verbal, con una movilidad corporal restringida, y mucho más en terapia individual.  </w:t>
      </w:r>
    </w:p>
    <w:p w:rsidR="00417A5E" w:rsidRPr="00BD18C0" w:rsidRDefault="00417A5E" w:rsidP="00417A5E">
      <w:pPr>
        <w:rPr>
          <w:rFonts w:asciiTheme="majorBidi" w:hAnsiTheme="majorBidi" w:cstheme="majorBidi"/>
          <w:sz w:val="28"/>
          <w:szCs w:val="28"/>
        </w:rPr>
      </w:pPr>
      <w:r w:rsidRPr="00BD18C0">
        <w:rPr>
          <w:rFonts w:asciiTheme="majorBidi" w:hAnsiTheme="majorBidi" w:cstheme="majorBidi"/>
          <w:sz w:val="28"/>
          <w:szCs w:val="28"/>
        </w:rPr>
        <w:t xml:space="preserve">El papel que juega la comunicación no verbal dentro de la sesión terapéutica es básico para el objetivo que se persigue dentro de ésta: acompañar y hacer consciente al paciente de cómo se maneja en sus relaciones con el mundo. Además debemos tener presente que la comunicación no verbal es una herramienta indispensable para el buen quehacer terapéutico. </w:t>
      </w:r>
    </w:p>
    <w:p w:rsidR="00417A5E" w:rsidRPr="00BD18C0" w:rsidRDefault="00417A5E" w:rsidP="00417A5E">
      <w:pPr>
        <w:rPr>
          <w:rFonts w:asciiTheme="majorBidi" w:hAnsiTheme="majorBidi" w:cstheme="majorBidi"/>
          <w:sz w:val="28"/>
          <w:szCs w:val="28"/>
        </w:rPr>
      </w:pPr>
      <w:r w:rsidRPr="00BD18C0">
        <w:rPr>
          <w:rFonts w:asciiTheme="majorBidi" w:hAnsiTheme="majorBidi" w:cstheme="majorBidi"/>
          <w:sz w:val="28"/>
          <w:szCs w:val="28"/>
        </w:rPr>
        <w:t xml:space="preserve">En la medida en que podamos acompañar el proceder del paciente, tanto verbal como no verbalmente, estamos acompañando también a su experiencia de un modo completo. Es decir, haremos esto atendiendo a sus emociones espontáneas y a su manifestación corporal (respiración, expresión facial o del cuerpo, pequeños gestos no conscientes...) así como al tono de su voz tanto como al contenido de sus palabras: LA FORMA nos interesa tanto como el fondo, el significante tanto como el significado. </w:t>
      </w:r>
    </w:p>
    <w:p w:rsidR="00417A5E" w:rsidRPr="00BD18C0" w:rsidRDefault="00417A5E" w:rsidP="00417A5E">
      <w:pPr>
        <w:rPr>
          <w:rFonts w:asciiTheme="majorBidi" w:hAnsiTheme="majorBidi" w:cstheme="majorBidi"/>
          <w:sz w:val="28"/>
          <w:szCs w:val="28"/>
        </w:rPr>
      </w:pPr>
      <w:r w:rsidRPr="00BD18C0">
        <w:rPr>
          <w:rFonts w:asciiTheme="majorBidi" w:hAnsiTheme="majorBidi" w:cstheme="majorBidi"/>
          <w:sz w:val="28"/>
          <w:szCs w:val="28"/>
        </w:rPr>
        <w:t xml:space="preserve">Indudablemente en Gestalt, y creemos que en ninguna otra corriente psicológica, no podemos hacer afirmaciones claras y concretas de lo que significa </w:t>
      </w:r>
      <w:r w:rsidRPr="00BD18C0">
        <w:rPr>
          <w:rFonts w:asciiTheme="majorBidi" w:hAnsiTheme="majorBidi" w:cstheme="majorBidi"/>
          <w:sz w:val="28"/>
          <w:szCs w:val="28"/>
        </w:rPr>
        <w:lastRenderedPageBreak/>
        <w:t xml:space="preserve">emocionalmente cualquier gesto o conducta no verbal, sin embargo estos sí son la expresión de intenciones emocionales, de ahí la importancia que para nosotros, como psicoterapeutas, tiene el comprender su papel durante la interacción. </w:t>
      </w:r>
    </w:p>
    <w:p w:rsidR="00417A5E" w:rsidRPr="00BD18C0" w:rsidRDefault="00417A5E" w:rsidP="00417A5E">
      <w:pPr>
        <w:rPr>
          <w:rFonts w:asciiTheme="majorBidi" w:hAnsiTheme="majorBidi" w:cstheme="majorBidi"/>
          <w:sz w:val="28"/>
          <w:szCs w:val="28"/>
        </w:rPr>
      </w:pPr>
      <w:r w:rsidRPr="00BD18C0">
        <w:rPr>
          <w:rFonts w:asciiTheme="majorBidi" w:hAnsiTheme="majorBidi" w:cstheme="majorBidi"/>
          <w:sz w:val="28"/>
          <w:szCs w:val="28"/>
        </w:rPr>
        <w:t xml:space="preserve">Así mismo, la interpretación de la conducta no verbal del paciente la hacemos en cuanto a su congruencia con la comunicación verbal y siempre confirmando con él o ella su significado.  Hacemos un pequeño recorrido por los tres ámbitos de estudio de la comunicación no verbal </w:t>
      </w:r>
    </w:p>
    <w:p w:rsidR="00417A5E" w:rsidRPr="00BD18C0" w:rsidRDefault="00417A5E" w:rsidP="00417A5E">
      <w:pPr>
        <w:rPr>
          <w:rFonts w:asciiTheme="majorBidi" w:hAnsiTheme="majorBidi" w:cstheme="majorBidi"/>
          <w:sz w:val="28"/>
          <w:szCs w:val="28"/>
        </w:rPr>
      </w:pPr>
      <w:r w:rsidRPr="00BD18C0">
        <w:rPr>
          <w:rFonts w:asciiTheme="majorBidi" w:hAnsiTheme="majorBidi" w:cstheme="majorBidi"/>
          <w:sz w:val="28"/>
          <w:szCs w:val="28"/>
        </w:rPr>
        <w:t xml:space="preserve">que pensamos nos pueden ayudar en nuestro quehacer terapéutico: La kinesia, la paralingüística y la proxémica. </w:t>
      </w:r>
    </w:p>
    <w:p w:rsidR="00417A5E" w:rsidRPr="00745661" w:rsidRDefault="00417A5E" w:rsidP="00417A5E">
      <w:pPr>
        <w:rPr>
          <w:rFonts w:asciiTheme="majorBidi" w:hAnsiTheme="majorBidi" w:cstheme="majorBidi"/>
          <w:b/>
          <w:bCs/>
          <w:sz w:val="28"/>
          <w:szCs w:val="28"/>
        </w:rPr>
      </w:pPr>
      <w:r w:rsidRPr="00745661">
        <w:rPr>
          <w:rFonts w:asciiTheme="majorBidi" w:hAnsiTheme="majorBidi" w:cstheme="majorBidi"/>
          <w:b/>
          <w:bCs/>
          <w:sz w:val="28"/>
          <w:szCs w:val="28"/>
        </w:rPr>
        <w:t xml:space="preserve">Kinesia </w:t>
      </w:r>
    </w:p>
    <w:p w:rsidR="00417A5E" w:rsidRPr="00BD18C0" w:rsidRDefault="00417A5E" w:rsidP="00417A5E">
      <w:pPr>
        <w:rPr>
          <w:rFonts w:asciiTheme="majorBidi" w:hAnsiTheme="majorBidi" w:cstheme="majorBidi"/>
          <w:sz w:val="28"/>
          <w:szCs w:val="28"/>
        </w:rPr>
      </w:pPr>
      <w:r w:rsidRPr="00BD18C0">
        <w:rPr>
          <w:rFonts w:asciiTheme="majorBidi" w:hAnsiTheme="majorBidi" w:cstheme="majorBidi"/>
          <w:sz w:val="28"/>
          <w:szCs w:val="28"/>
        </w:rPr>
        <w:t xml:space="preserve"> Desde este ámbito se han estudiado principalmente: la postura corporal, los gestos, la expresión facial, la mirada y la sonrisa. </w:t>
      </w:r>
    </w:p>
    <w:p w:rsidR="00417A5E" w:rsidRPr="00BD18C0" w:rsidRDefault="00417A5E" w:rsidP="00417A5E">
      <w:pPr>
        <w:rPr>
          <w:rFonts w:asciiTheme="majorBidi" w:hAnsiTheme="majorBidi" w:cstheme="majorBidi"/>
          <w:sz w:val="28"/>
          <w:szCs w:val="28"/>
        </w:rPr>
      </w:pPr>
      <w:r w:rsidRPr="00BD18C0">
        <w:rPr>
          <w:rFonts w:asciiTheme="majorBidi" w:hAnsiTheme="majorBidi" w:cstheme="majorBidi"/>
          <w:sz w:val="28"/>
          <w:szCs w:val="28"/>
        </w:rPr>
        <w:t xml:space="preserve">Dentro de la </w:t>
      </w:r>
      <w:r w:rsidRPr="00745661">
        <w:rPr>
          <w:rFonts w:asciiTheme="majorBidi" w:hAnsiTheme="majorBidi" w:cstheme="majorBidi"/>
          <w:b/>
          <w:bCs/>
          <w:sz w:val="28"/>
          <w:szCs w:val="28"/>
        </w:rPr>
        <w:t>postura corporal</w:t>
      </w:r>
      <w:r w:rsidRPr="00BD18C0">
        <w:rPr>
          <w:rFonts w:asciiTheme="majorBidi" w:hAnsiTheme="majorBidi" w:cstheme="majorBidi"/>
          <w:sz w:val="28"/>
          <w:szCs w:val="28"/>
        </w:rPr>
        <w:t xml:space="preserve"> , la forma de posicionarse el paciente, el ángulo de cómo el cuerpo se posiciona (orientación, el ángulo de orientación puede regular el grado de intimidad de una conversación), la  energía y dinamismo en el movimiento, su congruencia con el contenido verbal, etc. </w:t>
      </w:r>
    </w:p>
    <w:p w:rsidR="00417A5E" w:rsidRPr="00BD18C0" w:rsidRDefault="00417A5E" w:rsidP="00417A5E">
      <w:pPr>
        <w:rPr>
          <w:rFonts w:asciiTheme="majorBidi" w:hAnsiTheme="majorBidi" w:cstheme="majorBidi"/>
          <w:sz w:val="28"/>
          <w:szCs w:val="28"/>
        </w:rPr>
      </w:pPr>
      <w:r w:rsidRPr="00BD18C0">
        <w:rPr>
          <w:rFonts w:asciiTheme="majorBidi" w:hAnsiTheme="majorBidi" w:cstheme="majorBidi"/>
          <w:sz w:val="28"/>
          <w:szCs w:val="28"/>
        </w:rPr>
        <w:t xml:space="preserve">En cuanto a los </w:t>
      </w:r>
      <w:r w:rsidRPr="00745661">
        <w:rPr>
          <w:rFonts w:asciiTheme="majorBidi" w:hAnsiTheme="majorBidi" w:cstheme="majorBidi"/>
          <w:b/>
          <w:bCs/>
          <w:sz w:val="28"/>
          <w:szCs w:val="28"/>
        </w:rPr>
        <w:t>gestos</w:t>
      </w:r>
      <w:r w:rsidRPr="00BD18C0">
        <w:rPr>
          <w:rFonts w:asciiTheme="majorBidi" w:hAnsiTheme="majorBidi" w:cstheme="majorBidi"/>
          <w:sz w:val="28"/>
          <w:szCs w:val="28"/>
        </w:rPr>
        <w:t xml:space="preserve">, movimiento propio de las articulaciones, en especial de los brazos, las piernas y la cabeza: Reguladores de la interacción, Ilustrativos, De adaptación, Emblemáticos, Que expresan estados emotivos (patgrafos).  </w:t>
      </w:r>
    </w:p>
    <w:p w:rsidR="00417A5E" w:rsidRPr="00BD18C0" w:rsidRDefault="00417A5E" w:rsidP="00417A5E">
      <w:pPr>
        <w:rPr>
          <w:rFonts w:asciiTheme="majorBidi" w:hAnsiTheme="majorBidi" w:cstheme="majorBidi"/>
          <w:sz w:val="28"/>
          <w:szCs w:val="28"/>
        </w:rPr>
      </w:pPr>
      <w:r w:rsidRPr="00BD18C0">
        <w:rPr>
          <w:rFonts w:asciiTheme="majorBidi" w:hAnsiTheme="majorBidi" w:cstheme="majorBidi"/>
          <w:sz w:val="28"/>
          <w:szCs w:val="28"/>
        </w:rPr>
        <w:t xml:space="preserve">Sin lugar a dudas </w:t>
      </w:r>
      <w:r w:rsidRPr="00745661">
        <w:rPr>
          <w:rFonts w:asciiTheme="majorBidi" w:hAnsiTheme="majorBidi" w:cstheme="majorBidi"/>
          <w:b/>
          <w:bCs/>
          <w:sz w:val="28"/>
          <w:szCs w:val="28"/>
        </w:rPr>
        <w:t>la expresión facial</w:t>
      </w:r>
      <w:r w:rsidRPr="00BD18C0">
        <w:rPr>
          <w:rFonts w:asciiTheme="majorBidi" w:hAnsiTheme="majorBidi" w:cstheme="majorBidi"/>
          <w:sz w:val="28"/>
          <w:szCs w:val="28"/>
        </w:rPr>
        <w:t xml:space="preserve"> es el medio más rico e importante para mostrar las emociones y el estado de ánimo. Además de para esto también se utiliza para regular la interacción y, así mismo, reforzar a los intervinientes en la misma.  </w:t>
      </w:r>
    </w:p>
    <w:p w:rsidR="00417A5E" w:rsidRPr="00BD18C0" w:rsidRDefault="00417A5E" w:rsidP="00417A5E">
      <w:pPr>
        <w:rPr>
          <w:rFonts w:asciiTheme="majorBidi" w:hAnsiTheme="majorBidi" w:cstheme="majorBidi"/>
          <w:sz w:val="28"/>
          <w:szCs w:val="28"/>
        </w:rPr>
      </w:pPr>
      <w:r w:rsidRPr="00BD18C0">
        <w:rPr>
          <w:rFonts w:asciiTheme="majorBidi" w:hAnsiTheme="majorBidi" w:cstheme="majorBidi"/>
          <w:sz w:val="28"/>
          <w:szCs w:val="28"/>
        </w:rPr>
        <w:t xml:space="preserve">Aunque forme parte de la expresión facial, </w:t>
      </w:r>
      <w:r w:rsidRPr="00745661">
        <w:rPr>
          <w:rFonts w:asciiTheme="majorBidi" w:hAnsiTheme="majorBidi" w:cstheme="majorBidi"/>
          <w:b/>
          <w:bCs/>
          <w:sz w:val="28"/>
          <w:szCs w:val="28"/>
        </w:rPr>
        <w:t>la mirada</w:t>
      </w:r>
      <w:r w:rsidRPr="00BD18C0">
        <w:rPr>
          <w:rFonts w:asciiTheme="majorBidi" w:hAnsiTheme="majorBidi" w:cstheme="majorBidi"/>
          <w:sz w:val="28"/>
          <w:szCs w:val="28"/>
        </w:rPr>
        <w:t xml:space="preserve">,debido a la importancia que tiene en la comunicación no verbal, se estudia de forma independiente. </w:t>
      </w:r>
    </w:p>
    <w:p w:rsidR="00417A5E" w:rsidRPr="00BD18C0" w:rsidRDefault="00417A5E" w:rsidP="00417A5E">
      <w:pPr>
        <w:rPr>
          <w:rFonts w:asciiTheme="majorBidi" w:hAnsiTheme="majorBidi" w:cstheme="majorBidi"/>
          <w:sz w:val="28"/>
          <w:szCs w:val="28"/>
        </w:rPr>
      </w:pPr>
      <w:r w:rsidRPr="00BD18C0">
        <w:rPr>
          <w:rFonts w:asciiTheme="majorBidi" w:hAnsiTheme="majorBidi" w:cstheme="majorBidi"/>
          <w:sz w:val="28"/>
          <w:szCs w:val="28"/>
        </w:rPr>
        <w:t xml:space="preserve">Con </w:t>
      </w:r>
      <w:r w:rsidRPr="00745661">
        <w:rPr>
          <w:rFonts w:asciiTheme="majorBidi" w:hAnsiTheme="majorBidi" w:cstheme="majorBidi"/>
          <w:b/>
          <w:bCs/>
          <w:sz w:val="28"/>
          <w:szCs w:val="28"/>
        </w:rPr>
        <w:t>la sonrisa</w:t>
      </w:r>
      <w:r w:rsidRPr="00BD18C0">
        <w:rPr>
          <w:rFonts w:asciiTheme="majorBidi" w:hAnsiTheme="majorBidi" w:cstheme="majorBidi"/>
          <w:sz w:val="28"/>
          <w:szCs w:val="28"/>
        </w:rPr>
        <w:t xml:space="preserve"> lo que expresamos normalmente es alegría o felicidad.  </w:t>
      </w:r>
    </w:p>
    <w:p w:rsidR="00417A5E" w:rsidRPr="00745661" w:rsidRDefault="00417A5E" w:rsidP="00417A5E">
      <w:pPr>
        <w:rPr>
          <w:rFonts w:asciiTheme="majorBidi" w:hAnsiTheme="majorBidi" w:cstheme="majorBidi"/>
          <w:b/>
          <w:bCs/>
          <w:sz w:val="28"/>
          <w:szCs w:val="28"/>
        </w:rPr>
      </w:pPr>
      <w:r w:rsidRPr="00745661">
        <w:rPr>
          <w:rFonts w:asciiTheme="majorBidi" w:hAnsiTheme="majorBidi" w:cstheme="majorBidi"/>
          <w:b/>
          <w:bCs/>
          <w:sz w:val="28"/>
          <w:szCs w:val="28"/>
        </w:rPr>
        <w:t xml:space="preserve">Paralingüística </w:t>
      </w:r>
    </w:p>
    <w:p w:rsidR="00417A5E" w:rsidRPr="00BD18C0" w:rsidRDefault="00417A5E" w:rsidP="00417A5E">
      <w:pPr>
        <w:rPr>
          <w:rFonts w:asciiTheme="majorBidi" w:hAnsiTheme="majorBidi" w:cstheme="majorBidi"/>
          <w:sz w:val="28"/>
          <w:szCs w:val="28"/>
        </w:rPr>
      </w:pPr>
      <w:r w:rsidRPr="00BD18C0">
        <w:rPr>
          <w:rFonts w:asciiTheme="majorBidi" w:hAnsiTheme="majorBidi" w:cstheme="majorBidi"/>
          <w:sz w:val="28"/>
          <w:szCs w:val="28"/>
        </w:rPr>
        <w:t xml:space="preserve">Cuando hablamos de paralingüística nos referimos a todos los aspectos del habla, exceptuando la voz. Estos son el ritmo, el volumen, la entonación, el énfasis. Las tres cuestiones que consideramos son las más influyentes dentro de una interacción: La cualidad del tono que nos interesa es la adecuación emocional del tono de voz utilizado durante la conversación. El ritmo se refiere a la fluidez verbal con que se expresa la persona. El volumen, un volumen elevado de la voz suele ser un indicador de que el interlocutor quiere imponerse </w:t>
      </w:r>
      <w:r w:rsidRPr="00BD18C0">
        <w:rPr>
          <w:rFonts w:asciiTheme="majorBidi" w:hAnsiTheme="majorBidi" w:cstheme="majorBidi"/>
          <w:sz w:val="28"/>
          <w:szCs w:val="28"/>
        </w:rPr>
        <w:lastRenderedPageBreak/>
        <w:t xml:space="preserve">en la relación y está relacionado con una intención de mostrar autoridad. Si el volumen es muy bajo puede indicar el deseo de ser atendido con esfuerzo por parte de quien escucha, como una manera de hacerse especial. </w:t>
      </w:r>
    </w:p>
    <w:p w:rsidR="00417A5E" w:rsidRPr="00745661" w:rsidRDefault="00417A5E" w:rsidP="00417A5E">
      <w:pPr>
        <w:rPr>
          <w:rFonts w:asciiTheme="majorBidi" w:hAnsiTheme="majorBidi" w:cstheme="majorBidi"/>
          <w:b/>
          <w:bCs/>
          <w:sz w:val="28"/>
          <w:szCs w:val="28"/>
        </w:rPr>
      </w:pPr>
      <w:r w:rsidRPr="00745661">
        <w:rPr>
          <w:rFonts w:asciiTheme="majorBidi" w:hAnsiTheme="majorBidi" w:cstheme="majorBidi"/>
          <w:b/>
          <w:bCs/>
          <w:sz w:val="28"/>
          <w:szCs w:val="28"/>
        </w:rPr>
        <w:t xml:space="preserve">Proxémica </w:t>
      </w:r>
    </w:p>
    <w:p w:rsidR="00417A5E" w:rsidRPr="00BD18C0" w:rsidRDefault="00417A5E" w:rsidP="00417A5E">
      <w:pPr>
        <w:rPr>
          <w:rFonts w:asciiTheme="majorBidi" w:hAnsiTheme="majorBidi" w:cstheme="majorBidi"/>
          <w:sz w:val="28"/>
          <w:szCs w:val="28"/>
        </w:rPr>
      </w:pPr>
      <w:r w:rsidRPr="00BD18C0">
        <w:rPr>
          <w:rFonts w:asciiTheme="majorBidi" w:hAnsiTheme="majorBidi" w:cstheme="majorBidi"/>
          <w:sz w:val="28"/>
          <w:szCs w:val="28"/>
        </w:rPr>
        <w:t xml:space="preserve">Es como llamamos al conjunto de comportamientos no verbales que se relacionan con la utilización y la estructuración del espacio inmediato, algo que podríamos llamar el espacio personal. </w:t>
      </w:r>
    </w:p>
    <w:p w:rsidR="00417A5E" w:rsidRPr="00BD18C0" w:rsidRDefault="00417A5E" w:rsidP="00417A5E">
      <w:pPr>
        <w:rPr>
          <w:rFonts w:asciiTheme="majorBidi" w:hAnsiTheme="majorBidi" w:cstheme="majorBidi"/>
          <w:sz w:val="28"/>
          <w:szCs w:val="28"/>
        </w:rPr>
      </w:pPr>
      <w:r w:rsidRPr="00BD18C0">
        <w:rPr>
          <w:rFonts w:asciiTheme="majorBidi" w:hAnsiTheme="majorBidi" w:cstheme="majorBidi"/>
          <w:sz w:val="28"/>
          <w:szCs w:val="28"/>
        </w:rPr>
        <w:t xml:space="preserve">El espacio personal es ese espacio que nos rodea, ese espacio donde no dejamos, a no ser que nosotros queramos, pasar a nadie. Consideramos nuestro un mayor espacio hacia adelante, un poco menos hacia los lados y menos aún a nuestra espalda. Algunos estudios parecen confirmar que el espacio cómodo para la cultura mediterránea es de unos 40 cm. </w:t>
      </w:r>
    </w:p>
    <w:p w:rsidR="00417A5E" w:rsidRPr="00BD18C0" w:rsidRDefault="00417A5E" w:rsidP="00417A5E">
      <w:pPr>
        <w:rPr>
          <w:rFonts w:asciiTheme="majorBidi" w:hAnsiTheme="majorBidi" w:cstheme="majorBidi"/>
          <w:sz w:val="28"/>
          <w:szCs w:val="28"/>
        </w:rPr>
      </w:pPr>
      <w:r w:rsidRPr="00BD18C0">
        <w:rPr>
          <w:rFonts w:asciiTheme="majorBidi" w:hAnsiTheme="majorBidi" w:cstheme="majorBidi"/>
          <w:sz w:val="28"/>
          <w:szCs w:val="28"/>
        </w:rPr>
        <w:t xml:space="preserve">Cuando alguien viola ese espacio nos produce tensión, sensación de amenaza o incomodidad. </w:t>
      </w:r>
    </w:p>
    <w:p w:rsidR="00417A5E" w:rsidRPr="00745661" w:rsidRDefault="00417A5E" w:rsidP="00417A5E">
      <w:pPr>
        <w:rPr>
          <w:rFonts w:asciiTheme="majorBidi" w:hAnsiTheme="majorBidi" w:cstheme="majorBidi"/>
          <w:b/>
          <w:bCs/>
          <w:sz w:val="28"/>
          <w:szCs w:val="28"/>
        </w:rPr>
      </w:pPr>
      <w:r w:rsidRPr="00745661">
        <w:rPr>
          <w:rFonts w:asciiTheme="majorBidi" w:hAnsiTheme="majorBidi" w:cstheme="majorBidi"/>
          <w:b/>
          <w:bCs/>
          <w:sz w:val="28"/>
          <w:szCs w:val="28"/>
        </w:rPr>
        <w:t>Trabajar lo paraverbal</w:t>
      </w:r>
    </w:p>
    <w:p w:rsidR="00417A5E" w:rsidRPr="00BD18C0" w:rsidRDefault="00417A5E" w:rsidP="00417A5E">
      <w:pPr>
        <w:rPr>
          <w:rFonts w:asciiTheme="majorBidi" w:hAnsiTheme="majorBidi" w:cstheme="majorBidi"/>
          <w:sz w:val="28"/>
          <w:szCs w:val="28"/>
        </w:rPr>
      </w:pPr>
      <w:r w:rsidRPr="00BD18C0">
        <w:rPr>
          <w:rFonts w:asciiTheme="majorBidi" w:hAnsiTheme="majorBidi" w:cstheme="majorBidi"/>
          <w:sz w:val="28"/>
          <w:szCs w:val="28"/>
        </w:rPr>
        <w:t xml:space="preserve"> Como terapeutas gestálticos debemos estar muy atentos a todos estos «mensajes» que nos van llegando del paciente sin que éste sea consciente de que los da, es decir, observaremos la postura, los gestos, los movimientos, etc. que nos estarán dando pistas sobre lo que está  pasando en ese momento y que son una forma de comunicación destinada principalmente al terapeuta. </w:t>
      </w:r>
    </w:p>
    <w:p w:rsidR="00417A5E" w:rsidRPr="00BD18C0" w:rsidRDefault="00417A5E" w:rsidP="00417A5E">
      <w:pPr>
        <w:rPr>
          <w:rFonts w:asciiTheme="majorBidi" w:hAnsiTheme="majorBidi" w:cstheme="majorBidi"/>
          <w:sz w:val="28"/>
          <w:szCs w:val="28"/>
        </w:rPr>
      </w:pPr>
      <w:r w:rsidRPr="00BD18C0">
        <w:rPr>
          <w:rFonts w:asciiTheme="majorBidi" w:hAnsiTheme="majorBidi" w:cstheme="majorBidi"/>
          <w:sz w:val="28"/>
          <w:szCs w:val="28"/>
        </w:rPr>
        <w:t xml:space="preserve">Ante estas manifestaciones lo que haremos será incitar al paciente para que él mismo sea consciente de lo que está haciendo para lo que le pediremos que amplifique el gesto, o bien que lo repita o simplemente que tome conciencia, y cuando se dé cuenta de lo que hace le preguntaremos qué siente en ese momento. Muchas veces surge un darse cuenta, o toma de conciencia, de actitudes pasadas, o incluso presentes, que provocan un insight que puede ir, o no,  acompañado de manifestaciones emocionales intensas. </w:t>
      </w:r>
    </w:p>
    <w:p w:rsidR="00417A5E" w:rsidRPr="00745661" w:rsidRDefault="00417A5E" w:rsidP="00417A5E">
      <w:pPr>
        <w:rPr>
          <w:rFonts w:asciiTheme="majorBidi" w:hAnsiTheme="majorBidi" w:cstheme="majorBidi"/>
          <w:b/>
          <w:bCs/>
          <w:sz w:val="28"/>
          <w:szCs w:val="28"/>
        </w:rPr>
      </w:pPr>
      <w:r w:rsidRPr="00745661">
        <w:rPr>
          <w:rFonts w:asciiTheme="majorBidi" w:hAnsiTheme="majorBidi" w:cstheme="majorBidi"/>
          <w:b/>
          <w:bCs/>
          <w:sz w:val="28"/>
          <w:szCs w:val="28"/>
        </w:rPr>
        <w:t xml:space="preserve">Otras comunicaciones no verbales </w:t>
      </w:r>
    </w:p>
    <w:p w:rsidR="00417A5E" w:rsidRPr="00BD18C0" w:rsidRDefault="00417A5E" w:rsidP="00417A5E">
      <w:pPr>
        <w:rPr>
          <w:rFonts w:asciiTheme="majorBidi" w:hAnsiTheme="majorBidi" w:cstheme="majorBidi"/>
          <w:sz w:val="28"/>
          <w:szCs w:val="28"/>
        </w:rPr>
      </w:pPr>
      <w:r w:rsidRPr="00BD18C0">
        <w:rPr>
          <w:rFonts w:asciiTheme="majorBidi" w:hAnsiTheme="majorBidi" w:cstheme="majorBidi"/>
          <w:sz w:val="28"/>
          <w:szCs w:val="28"/>
        </w:rPr>
        <w:t xml:space="preserve">Cuando hablamos de comunicación no verbal no debemos olvidar otras formas que no son los mensajes corporales. Puede haber infinidad de maneras de comunicación en una consulta terapéutica, tantas como la imaginación nos permita. Ponemos a continuación un par de ejemplos. Una forma de comunicación entre paciente y terapeuta puede ser mediante un diálogo establecido con pinturas, haciendo ambos un dibujo, dejándose llevar sobre un papel. Es ésta una manera de comunicación emocional que va más allá de lo que podamos decir verbalmente y que permite explorar la confluencia, la invasión o </w:t>
      </w:r>
      <w:r w:rsidRPr="00BD18C0">
        <w:rPr>
          <w:rFonts w:asciiTheme="majorBidi" w:hAnsiTheme="majorBidi" w:cstheme="majorBidi"/>
          <w:sz w:val="28"/>
          <w:szCs w:val="28"/>
        </w:rPr>
        <w:lastRenderedPageBreak/>
        <w:t xml:space="preserve">los límites que pone y que traspasa el paciente cuando está «dialogando» con su terapeuta. </w:t>
      </w:r>
    </w:p>
    <w:p w:rsidR="00417A5E" w:rsidRPr="00BD18C0" w:rsidRDefault="00417A5E" w:rsidP="00417A5E">
      <w:pPr>
        <w:rPr>
          <w:rFonts w:asciiTheme="majorBidi" w:hAnsiTheme="majorBidi" w:cstheme="majorBidi"/>
          <w:sz w:val="28"/>
          <w:szCs w:val="28"/>
        </w:rPr>
      </w:pPr>
      <w:r w:rsidRPr="00BD18C0">
        <w:rPr>
          <w:rFonts w:asciiTheme="majorBidi" w:hAnsiTheme="majorBidi" w:cstheme="majorBidi"/>
          <w:sz w:val="28"/>
          <w:szCs w:val="28"/>
        </w:rPr>
        <w:t xml:space="preserve">Otras veces será a través del movimiento como habrá comunicación, ya sea con música o sin ella. Se busca que el cuerpo exprese lo que está contenido, reprimido o bloqueado. En otras ocasiones el terapeuta acompaña al paciente en un recorrido corporal y le ayuda a poner palabras a las sensaciones.  </w:t>
      </w:r>
    </w:p>
    <w:p w:rsidR="00417A5E" w:rsidRPr="00BD18C0" w:rsidRDefault="00417A5E" w:rsidP="00417A5E">
      <w:pPr>
        <w:rPr>
          <w:rFonts w:asciiTheme="majorBidi" w:hAnsiTheme="majorBidi" w:cstheme="majorBidi"/>
          <w:sz w:val="28"/>
          <w:szCs w:val="28"/>
        </w:rPr>
      </w:pPr>
      <w:r w:rsidRPr="00BD18C0">
        <w:rPr>
          <w:rFonts w:asciiTheme="majorBidi" w:hAnsiTheme="majorBidi" w:cstheme="majorBidi"/>
          <w:sz w:val="28"/>
          <w:szCs w:val="28"/>
        </w:rPr>
        <w:t>Las devoluciones corporales han de hacerse con cuidado, en función del momento del proceso terapéutico y del nivel de confianza que se tenga en la relación paciente-terapeuta y estar siempre dispuesto a volver atrás para no levantar resistencias. Así que una buena técnica pasa por no forzar. El cuerpo siempre viene a terapia y eso supone una ventaja, tanto para la persona como para el terapeuta</w:t>
      </w:r>
    </w:p>
    <w:p w:rsidR="00521EA3" w:rsidRDefault="00521EA3"/>
    <w:sectPr w:rsidR="00521EA3" w:rsidSect="00417A5E">
      <w:footerReference w:type="default" r:id="rId6"/>
      <w:pgSz w:w="11906" w:h="16838"/>
      <w:pgMar w:top="142"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73C0" w:rsidRDefault="009473C0" w:rsidP="00417A5E">
      <w:pPr>
        <w:spacing w:after="0" w:line="240" w:lineRule="auto"/>
      </w:pPr>
      <w:r>
        <w:separator/>
      </w:r>
    </w:p>
  </w:endnote>
  <w:endnote w:type="continuationSeparator" w:id="0">
    <w:p w:rsidR="009473C0" w:rsidRDefault="009473C0" w:rsidP="00417A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5004017"/>
      <w:docPartObj>
        <w:docPartGallery w:val="Page Numbers (Bottom of Page)"/>
        <w:docPartUnique/>
      </w:docPartObj>
    </w:sdtPr>
    <w:sdtEndPr/>
    <w:sdtContent>
      <w:p w:rsidR="00417A5E" w:rsidRDefault="009473C0">
        <w:pPr>
          <w:pStyle w:val="Pieddepage"/>
          <w:jc w:val="center"/>
        </w:pPr>
        <w:r>
          <w:fldChar w:fldCharType="begin"/>
        </w:r>
        <w:r>
          <w:instrText xml:space="preserve"> PAGE   \* MERGEFORMAT </w:instrText>
        </w:r>
        <w:r>
          <w:fldChar w:fldCharType="separate"/>
        </w:r>
        <w:r w:rsidR="00417A5E">
          <w:rPr>
            <w:noProof/>
          </w:rPr>
          <w:t>8</w:t>
        </w:r>
        <w:r>
          <w:rPr>
            <w:noProof/>
          </w:rPr>
          <w:fldChar w:fldCharType="end"/>
        </w:r>
      </w:p>
    </w:sdtContent>
  </w:sdt>
  <w:p w:rsidR="00BD18C0" w:rsidRDefault="009473C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73C0" w:rsidRDefault="009473C0" w:rsidP="00417A5E">
      <w:pPr>
        <w:spacing w:after="0" w:line="240" w:lineRule="auto"/>
      </w:pPr>
      <w:r>
        <w:separator/>
      </w:r>
    </w:p>
  </w:footnote>
  <w:footnote w:type="continuationSeparator" w:id="0">
    <w:p w:rsidR="009473C0" w:rsidRDefault="009473C0" w:rsidP="00417A5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A5E"/>
    <w:rsid w:val="00417A5E"/>
    <w:rsid w:val="00521EA3"/>
    <w:rsid w:val="00667ACF"/>
    <w:rsid w:val="0081540E"/>
    <w:rsid w:val="009473C0"/>
    <w:rsid w:val="00D142C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18CD94-6430-4AAD-9B99-8E5BEFC9C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A5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417A5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7A5E"/>
  </w:style>
  <w:style w:type="paragraph" w:styleId="En-tte">
    <w:name w:val="header"/>
    <w:basedOn w:val="Normal"/>
    <w:link w:val="En-tteCar"/>
    <w:uiPriority w:val="99"/>
    <w:semiHidden/>
    <w:unhideWhenUsed/>
    <w:rsid w:val="00417A5E"/>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417A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2617</Words>
  <Characters>14396</Characters>
  <Application>Microsoft Office Word</Application>
  <DocSecurity>0</DocSecurity>
  <Lines>119</Lines>
  <Paragraphs>33</Paragraphs>
  <ScaleCrop>false</ScaleCrop>
  <Company/>
  <LinksUpToDate>false</LinksUpToDate>
  <CharactersWithSpaces>16980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N'tic-Informatique</dc:creator>
  <cp:lastModifiedBy>HP</cp:lastModifiedBy>
  <cp:revision>2</cp:revision>
  <dcterms:created xsi:type="dcterms:W3CDTF">2020-03-18T10:55:00Z</dcterms:created>
  <dcterms:modified xsi:type="dcterms:W3CDTF">2020-03-18T10:55:00Z</dcterms:modified>
</cp:coreProperties>
</file>