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E01" w:rsidRDefault="00436E01" w:rsidP="00AF538D">
      <w:pPr>
        <w:spacing w:line="360" w:lineRule="auto"/>
        <w:jc w:val="both"/>
        <w:rPr>
          <w:rFonts w:ascii="Century Schoolbook" w:hAnsi="Century Schoolbook"/>
          <w:sz w:val="32"/>
          <w:szCs w:val="32"/>
          <w:lang w:val="en-GB"/>
        </w:rPr>
      </w:pPr>
      <w:bookmarkStart w:id="0" w:name="_GoBack"/>
      <w:bookmarkEnd w:id="0"/>
    </w:p>
    <w:p w:rsidR="00CE70A6" w:rsidRPr="00F25DCF" w:rsidRDefault="00CE70A6" w:rsidP="00CE70A6">
      <w:pPr>
        <w:rPr>
          <w:lang w:val="en-US"/>
        </w:rPr>
      </w:pPr>
      <w:r>
        <w:rPr>
          <w:b/>
          <w:bCs/>
          <w:lang w:val="en-US"/>
        </w:rPr>
        <w:t xml:space="preserve">Teacher’s Name: </w:t>
      </w:r>
      <w:r w:rsidRPr="00F25DCF">
        <w:rPr>
          <w:lang w:val="en-US"/>
        </w:rPr>
        <w:t>Prof Faiza SENOUCI</w:t>
      </w:r>
    </w:p>
    <w:p w:rsidR="00CE70A6" w:rsidRPr="00F25DCF" w:rsidRDefault="00CE70A6" w:rsidP="00CE70A6">
      <w:pPr>
        <w:rPr>
          <w:lang w:val="en-US"/>
        </w:rPr>
      </w:pPr>
      <w:r>
        <w:rPr>
          <w:b/>
          <w:bCs/>
          <w:lang w:val="en-US"/>
        </w:rPr>
        <w:t>Level</w:t>
      </w:r>
      <w:r>
        <w:rPr>
          <w:lang w:val="en-US"/>
        </w:rPr>
        <w:t>: M1 LC</w:t>
      </w:r>
    </w:p>
    <w:p w:rsidR="00CE70A6" w:rsidRPr="00F25DCF" w:rsidRDefault="00CE70A6" w:rsidP="00CE70A6">
      <w:pPr>
        <w:rPr>
          <w:lang w:val="en-US"/>
        </w:rPr>
      </w:pPr>
      <w:r>
        <w:rPr>
          <w:b/>
          <w:bCs/>
          <w:lang w:val="en-US"/>
        </w:rPr>
        <w:t xml:space="preserve">Module: </w:t>
      </w:r>
      <w:r>
        <w:rPr>
          <w:lang w:val="en-US"/>
        </w:rPr>
        <w:t>Research Methodology in the Social Sciences</w:t>
      </w:r>
    </w:p>
    <w:p w:rsidR="00CE70A6" w:rsidRPr="00F25DCF" w:rsidRDefault="00CE70A6" w:rsidP="00CE70A6">
      <w:pPr>
        <w:rPr>
          <w:lang w:val="en-US"/>
        </w:rPr>
      </w:pPr>
      <w:r>
        <w:rPr>
          <w:b/>
          <w:bCs/>
          <w:lang w:val="en-US"/>
        </w:rPr>
        <w:t>Course number</w:t>
      </w:r>
      <w:r>
        <w:rPr>
          <w:lang w:val="en-US"/>
        </w:rPr>
        <w:t>: 03</w:t>
      </w:r>
    </w:p>
    <w:p w:rsidR="00CE70A6" w:rsidRDefault="00CE70A6" w:rsidP="00CE70A6">
      <w:pPr>
        <w:rPr>
          <w:b/>
          <w:bCs/>
          <w:lang w:val="en-US"/>
        </w:rPr>
      </w:pPr>
      <w:r>
        <w:rPr>
          <w:b/>
          <w:bCs/>
          <w:lang w:val="en-US"/>
        </w:rPr>
        <w:t>Course title:</w:t>
      </w:r>
      <w:r>
        <w:rPr>
          <w:lang w:val="en-US"/>
        </w:rPr>
        <w:t xml:space="preserve"> </w:t>
      </w:r>
      <w:r w:rsidR="00573F57">
        <w:rPr>
          <w:lang w:val="en-US"/>
        </w:rPr>
        <w:t xml:space="preserve">An Introduction to the </w:t>
      </w:r>
      <w:r>
        <w:rPr>
          <w:lang w:val="en-US"/>
        </w:rPr>
        <w:t>Chicago and Tur</w:t>
      </w:r>
      <w:r w:rsidR="00731647">
        <w:rPr>
          <w:lang w:val="en-US"/>
        </w:rPr>
        <w:t>a</w:t>
      </w:r>
      <w:r>
        <w:rPr>
          <w:lang w:val="en-US"/>
        </w:rPr>
        <w:t>bian Reference Styles.</w:t>
      </w:r>
    </w:p>
    <w:p w:rsidR="00CE70A6" w:rsidRPr="001055DC" w:rsidRDefault="00CE70A6" w:rsidP="00CE70A6">
      <w:pPr>
        <w:spacing w:line="360" w:lineRule="auto"/>
        <w:ind w:firstLine="567"/>
        <w:jc w:val="both"/>
        <w:rPr>
          <w:rFonts w:asciiTheme="majorBidi" w:hAnsiTheme="majorBidi" w:cstheme="majorBidi"/>
          <w:b/>
          <w:bCs/>
          <w:lang w:val="en-US"/>
        </w:rPr>
      </w:pPr>
    </w:p>
    <w:p w:rsidR="00CE70A6" w:rsidRPr="00CE70A6" w:rsidRDefault="00CE70A6" w:rsidP="00AF538D">
      <w:pPr>
        <w:spacing w:line="360" w:lineRule="auto"/>
        <w:jc w:val="both"/>
        <w:rPr>
          <w:rFonts w:ascii="Century Schoolbook" w:hAnsi="Century Schoolbook"/>
          <w:sz w:val="32"/>
          <w:szCs w:val="32"/>
          <w:lang w:val="en-US"/>
        </w:rPr>
      </w:pPr>
    </w:p>
    <w:p w:rsidR="00CE70A6" w:rsidRDefault="00CE70A6" w:rsidP="00AF538D">
      <w:pPr>
        <w:spacing w:line="360" w:lineRule="auto"/>
        <w:jc w:val="both"/>
        <w:rPr>
          <w:rFonts w:ascii="Century Schoolbook" w:hAnsi="Century Schoolbook"/>
          <w:sz w:val="32"/>
          <w:szCs w:val="32"/>
          <w:lang w:val="en-GB"/>
        </w:rPr>
      </w:pPr>
    </w:p>
    <w:p w:rsidR="00CE70A6" w:rsidRDefault="00CE70A6" w:rsidP="00AF538D">
      <w:pPr>
        <w:spacing w:line="360" w:lineRule="auto"/>
        <w:jc w:val="both"/>
        <w:rPr>
          <w:rFonts w:ascii="Century Schoolbook" w:hAnsi="Century Schoolbook"/>
          <w:sz w:val="32"/>
          <w:szCs w:val="32"/>
          <w:lang w:val="en-GB"/>
        </w:rPr>
      </w:pPr>
    </w:p>
    <w:p w:rsidR="00436E01" w:rsidRPr="001E39A4" w:rsidRDefault="00AF538D" w:rsidP="00CE70A6">
      <w:pPr>
        <w:spacing w:line="360" w:lineRule="auto"/>
        <w:ind w:firstLine="1080"/>
        <w:jc w:val="both"/>
        <w:rPr>
          <w:rFonts w:asciiTheme="majorBidi" w:hAnsiTheme="majorBidi" w:cstheme="majorBidi"/>
          <w:b/>
          <w:bCs/>
          <w:sz w:val="26"/>
          <w:szCs w:val="26"/>
          <w:lang w:val="en-GB"/>
        </w:rPr>
      </w:pPr>
      <w:r w:rsidRPr="001E39A4">
        <w:rPr>
          <w:rFonts w:asciiTheme="majorBidi" w:hAnsiTheme="majorBidi" w:cstheme="majorBidi"/>
          <w:b/>
          <w:bCs/>
          <w:sz w:val="26"/>
          <w:szCs w:val="26"/>
          <w:lang w:val="en-GB"/>
        </w:rPr>
        <w:t>An Introduction to Chicago</w:t>
      </w:r>
      <w:r w:rsidR="00A647E3" w:rsidRPr="001E39A4">
        <w:rPr>
          <w:rFonts w:asciiTheme="majorBidi" w:hAnsiTheme="majorBidi" w:cstheme="majorBidi"/>
          <w:b/>
          <w:bCs/>
          <w:sz w:val="26"/>
          <w:szCs w:val="26"/>
          <w:lang w:val="en-GB"/>
        </w:rPr>
        <w:t xml:space="preserve"> Reference Style</w:t>
      </w:r>
      <w:r w:rsidRPr="001E39A4">
        <w:rPr>
          <w:rFonts w:asciiTheme="majorBidi" w:hAnsiTheme="majorBidi" w:cstheme="majorBidi"/>
          <w:b/>
          <w:bCs/>
          <w:sz w:val="26"/>
          <w:szCs w:val="26"/>
          <w:lang w:val="en-GB"/>
        </w:rPr>
        <w:t xml:space="preserve"> </w:t>
      </w:r>
    </w:p>
    <w:p w:rsidR="00A10E91" w:rsidRPr="00CE70A6" w:rsidRDefault="00A10E91" w:rsidP="00CE70A6">
      <w:pPr>
        <w:spacing w:line="360" w:lineRule="auto"/>
        <w:ind w:firstLine="1080"/>
        <w:jc w:val="both"/>
        <w:rPr>
          <w:rFonts w:asciiTheme="majorBidi" w:hAnsiTheme="majorBidi" w:cstheme="majorBidi"/>
          <w:sz w:val="26"/>
          <w:szCs w:val="26"/>
          <w:lang w:val="en-GB"/>
        </w:rPr>
      </w:pPr>
      <w:r w:rsidRPr="00CE70A6">
        <w:rPr>
          <w:rFonts w:asciiTheme="majorBidi" w:hAnsiTheme="majorBidi" w:cstheme="majorBidi"/>
          <w:sz w:val="26"/>
          <w:szCs w:val="26"/>
          <w:lang w:val="en-GB"/>
        </w:rPr>
        <w:t>The present guidelines follow the Chicago or Tur</w:t>
      </w:r>
      <w:r w:rsidR="00731647">
        <w:rPr>
          <w:rFonts w:asciiTheme="majorBidi" w:hAnsiTheme="majorBidi" w:cstheme="majorBidi"/>
          <w:sz w:val="26"/>
          <w:szCs w:val="26"/>
          <w:lang w:val="en-GB"/>
        </w:rPr>
        <w:t>a</w:t>
      </w:r>
      <w:r w:rsidRPr="00CE70A6">
        <w:rPr>
          <w:rFonts w:asciiTheme="majorBidi" w:hAnsiTheme="majorBidi" w:cstheme="majorBidi"/>
          <w:sz w:val="26"/>
          <w:szCs w:val="26"/>
          <w:lang w:val="en-GB"/>
        </w:rPr>
        <w:t>bian style also known as documentary note or humanities style used more frequently in history and civilization and also in the arts. Chicago and Tur</w:t>
      </w:r>
      <w:r w:rsidR="00731647">
        <w:rPr>
          <w:rFonts w:asciiTheme="majorBidi" w:hAnsiTheme="majorBidi" w:cstheme="majorBidi"/>
          <w:sz w:val="26"/>
          <w:szCs w:val="26"/>
          <w:lang w:val="en-GB"/>
        </w:rPr>
        <w:t>a</w:t>
      </w:r>
      <w:r w:rsidRPr="00CE70A6">
        <w:rPr>
          <w:rFonts w:asciiTheme="majorBidi" w:hAnsiTheme="majorBidi" w:cstheme="majorBidi"/>
          <w:sz w:val="26"/>
          <w:szCs w:val="26"/>
          <w:lang w:val="en-GB"/>
        </w:rPr>
        <w:t>bian Style is commonly known as note system which places bibliographic citations at the bottom of each page or at the end of the paper though the 16</w:t>
      </w:r>
      <w:r w:rsidRPr="00CE70A6">
        <w:rPr>
          <w:rFonts w:asciiTheme="majorBidi" w:hAnsiTheme="majorBidi" w:cstheme="majorBidi"/>
          <w:sz w:val="26"/>
          <w:szCs w:val="26"/>
          <w:vertAlign w:val="superscript"/>
          <w:lang w:val="en-GB"/>
        </w:rPr>
        <w:t>th</w:t>
      </w:r>
      <w:r w:rsidRPr="00CE70A6">
        <w:rPr>
          <w:rFonts w:asciiTheme="majorBidi" w:hAnsiTheme="majorBidi" w:cstheme="majorBidi"/>
          <w:sz w:val="26"/>
          <w:szCs w:val="26"/>
          <w:lang w:val="en-GB"/>
        </w:rPr>
        <w:t xml:space="preserve"> edition of </w:t>
      </w:r>
      <w:r w:rsidRPr="00CE70A6">
        <w:rPr>
          <w:rFonts w:asciiTheme="majorBidi" w:hAnsiTheme="majorBidi" w:cstheme="majorBidi"/>
          <w:i/>
          <w:iCs/>
          <w:sz w:val="26"/>
          <w:szCs w:val="26"/>
          <w:lang w:val="en-GB"/>
        </w:rPr>
        <w:t>The Chicago Manual style</w:t>
      </w:r>
      <w:r w:rsidRPr="00CE70A6">
        <w:rPr>
          <w:rFonts w:asciiTheme="majorBidi" w:hAnsiTheme="majorBidi" w:cstheme="majorBidi"/>
          <w:sz w:val="26"/>
          <w:szCs w:val="26"/>
          <w:lang w:val="en-GB"/>
        </w:rPr>
        <w:t xml:space="preserve"> (2010), and the 8</w:t>
      </w:r>
      <w:r w:rsidRPr="00CE70A6">
        <w:rPr>
          <w:rFonts w:asciiTheme="majorBidi" w:hAnsiTheme="majorBidi" w:cstheme="majorBidi"/>
          <w:sz w:val="26"/>
          <w:szCs w:val="26"/>
          <w:vertAlign w:val="superscript"/>
          <w:lang w:val="en-GB"/>
        </w:rPr>
        <w:t>th</w:t>
      </w:r>
      <w:r w:rsidRPr="00CE70A6">
        <w:rPr>
          <w:rFonts w:asciiTheme="majorBidi" w:hAnsiTheme="majorBidi" w:cstheme="majorBidi"/>
          <w:sz w:val="26"/>
          <w:szCs w:val="26"/>
          <w:lang w:val="en-GB"/>
        </w:rPr>
        <w:t xml:space="preserve"> edition of Kate L. Tur</w:t>
      </w:r>
      <w:r w:rsidR="00731647">
        <w:rPr>
          <w:rFonts w:asciiTheme="majorBidi" w:hAnsiTheme="majorBidi" w:cstheme="majorBidi"/>
          <w:sz w:val="26"/>
          <w:szCs w:val="26"/>
          <w:lang w:val="en-GB"/>
        </w:rPr>
        <w:t>a</w:t>
      </w:r>
      <w:r w:rsidRPr="00CE70A6">
        <w:rPr>
          <w:rFonts w:asciiTheme="majorBidi" w:hAnsiTheme="majorBidi" w:cstheme="majorBidi"/>
          <w:sz w:val="26"/>
          <w:szCs w:val="26"/>
          <w:lang w:val="en-GB"/>
        </w:rPr>
        <w:t xml:space="preserve">bian’s </w:t>
      </w:r>
      <w:r w:rsidRPr="00CE70A6">
        <w:rPr>
          <w:rFonts w:asciiTheme="majorBidi" w:hAnsiTheme="majorBidi" w:cstheme="majorBidi"/>
          <w:i/>
          <w:iCs/>
          <w:sz w:val="26"/>
          <w:szCs w:val="26"/>
          <w:lang w:val="en-GB"/>
        </w:rPr>
        <w:t>Manuel for Writers of research Papers, Theses, and Dissertations</w:t>
      </w:r>
      <w:r w:rsidRPr="00CE70A6">
        <w:rPr>
          <w:rFonts w:asciiTheme="majorBidi" w:hAnsiTheme="majorBidi" w:cstheme="majorBidi"/>
          <w:sz w:val="26"/>
          <w:szCs w:val="26"/>
          <w:lang w:val="en-GB"/>
        </w:rPr>
        <w:t>, edited by Wayne C. Booth, Gregory G. Colomb, Joseph M. Williams, and the University of Chicago Press Editorial staff (University of Chicago Press, 2013) rather cite sources parenthetically with a reference list at the end of the paper. At this level, it is hence up to the instructor to design which of the two ways the researcher has to follow.</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Sample Footnote References (first references) and their Corresponding Bibliographical Entries:</w:t>
      </w:r>
    </w:p>
    <w:p w:rsidR="00A10E91" w:rsidRPr="00CE70A6" w:rsidRDefault="00A10E91" w:rsidP="00CE70A6">
      <w:pPr>
        <w:spacing w:line="360" w:lineRule="auto"/>
        <w:rPr>
          <w:rFonts w:asciiTheme="majorBidi" w:hAnsiTheme="majorBidi" w:cstheme="majorBidi"/>
          <w:b/>
          <w:bCs/>
          <w:sz w:val="26"/>
          <w:szCs w:val="26"/>
          <w:lang w:val="en-GB"/>
        </w:rPr>
      </w:pPr>
    </w:p>
    <w:p w:rsidR="00A10E91" w:rsidRPr="00CE70A6" w:rsidRDefault="00A10E91" w:rsidP="00CE70A6">
      <w:pPr>
        <w:spacing w:line="360" w:lineRule="auto"/>
        <w:ind w:firstLine="851"/>
        <w:jc w:val="both"/>
        <w:rPr>
          <w:rFonts w:asciiTheme="majorBidi" w:hAnsiTheme="majorBidi" w:cstheme="majorBidi"/>
          <w:sz w:val="26"/>
          <w:szCs w:val="26"/>
          <w:lang w:val="en-GB"/>
        </w:rPr>
      </w:pPr>
      <w:r w:rsidRPr="00CE70A6">
        <w:rPr>
          <w:rFonts w:asciiTheme="majorBidi" w:hAnsiTheme="majorBidi" w:cstheme="majorBidi"/>
          <w:sz w:val="26"/>
          <w:szCs w:val="26"/>
          <w:lang w:val="en-GB"/>
        </w:rPr>
        <w:t xml:space="preserve">             The following examples illustrate first reference footnote and bibliographical forms of books, articles as well as other source documents used in research. The abbreviations “N.” and “B.” stand respectively for footnote entry and bibliographical entry.  Bibliographic entries and notes contain almost the same information with slight variations at illustrated below:</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Books:</w:t>
      </w:r>
    </w:p>
    <w:p w:rsidR="00A10E91" w:rsidRPr="00CE70A6" w:rsidRDefault="00A10E91" w:rsidP="00CE70A6">
      <w:pPr>
        <w:spacing w:line="360" w:lineRule="auto"/>
        <w:rPr>
          <w:rFonts w:asciiTheme="majorBidi" w:hAnsiTheme="majorBidi" w:cstheme="majorBidi"/>
          <w:sz w:val="26"/>
          <w:szCs w:val="26"/>
          <w:u w:val="single"/>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lastRenderedPageBreak/>
        <w:t>One author, first edition</w:t>
      </w:r>
    </w:p>
    <w:p w:rsidR="00A10E91" w:rsidRPr="00CE70A6" w:rsidRDefault="00A10E91" w:rsidP="00CE70A6">
      <w:pPr>
        <w:spacing w:line="360" w:lineRule="auto"/>
        <w:rPr>
          <w:rFonts w:asciiTheme="majorBidi" w:hAnsiTheme="majorBidi" w:cstheme="majorBidi"/>
          <w:sz w:val="26"/>
          <w:szCs w:val="26"/>
          <w:u w:val="single"/>
          <w:lang w:val="en-GB"/>
        </w:rPr>
      </w:pPr>
      <w:r w:rsidRPr="00CE70A6">
        <w:rPr>
          <w:rFonts w:asciiTheme="majorBidi" w:hAnsiTheme="majorBidi" w:cstheme="majorBidi"/>
          <w:sz w:val="26"/>
          <w:szCs w:val="26"/>
          <w:u w:val="single"/>
          <w:lang w:val="en-GB"/>
        </w:rPr>
        <w:t xml:space="preserve"> </w:t>
      </w:r>
    </w:p>
    <w:p w:rsidR="00A10E91" w:rsidRPr="00CE70A6" w:rsidRDefault="00F5082B" w:rsidP="00CE70A6">
      <w:pPr>
        <w:spacing w:line="360" w:lineRule="auto"/>
        <w:rPr>
          <w:rFonts w:asciiTheme="majorBidi" w:hAnsiTheme="majorBidi" w:cstheme="majorBidi"/>
          <w:sz w:val="26"/>
          <w:szCs w:val="26"/>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226695</wp:posOffset>
                </wp:positionV>
                <wp:extent cx="228600" cy="652145"/>
                <wp:effectExtent l="57150" t="7620" r="9525" b="3556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652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85pt" to="117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">
                <v:stroke endarrow="block"/>
              </v:line>
            </w:pict>
          </mc:Fallback>
        </mc:AlternateContent>
      </w:r>
      <w:r w:rsidR="00A10E91" w:rsidRPr="00CE70A6">
        <w:rPr>
          <w:rFonts w:asciiTheme="majorBidi" w:hAnsiTheme="majorBidi" w:cstheme="majorBidi"/>
          <w:sz w:val="26"/>
          <w:szCs w:val="26"/>
          <w:lang w:val="en-GB"/>
        </w:rPr>
        <w:t xml:space="preserve">Normal order        comma      Title in italics        Publishing data </w:t>
      </w:r>
    </w:p>
    <w:p w:rsidR="00A10E91" w:rsidRPr="00CE70A6" w:rsidRDefault="00F5082B" w:rsidP="00CE70A6">
      <w:pPr>
        <w:spacing w:line="360" w:lineRule="auto"/>
        <w:rPr>
          <w:rFonts w:asciiTheme="majorBidi" w:hAnsiTheme="majorBidi" w:cstheme="majorBidi"/>
          <w:sz w:val="26"/>
          <w:szCs w:val="26"/>
          <w:u w:val="single"/>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61312" behindDoc="0" locked="0" layoutInCell="1" allowOverlap="1">
                <wp:simplePos x="0" y="0"/>
                <wp:positionH relativeFrom="column">
                  <wp:posOffset>2091055</wp:posOffset>
                </wp:positionH>
                <wp:positionV relativeFrom="paragraph">
                  <wp:posOffset>64135</wp:posOffset>
                </wp:positionV>
                <wp:extent cx="342900" cy="457200"/>
                <wp:effectExtent l="52705" t="6985" r="13970" b="5016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65pt,5.05pt" to="191.6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ySMgIAAFk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">
                <v:stroke endarrow="block"/>
              </v:line>
            </w:pict>
          </mc:Fallback>
        </mc:AlternateContent>
      </w:r>
      <w:r>
        <w:rPr>
          <w:rFonts w:asciiTheme="majorBidi" w:hAnsiTheme="majorBidi" w:cstheme="majorBidi"/>
          <w:noProof/>
          <w:sz w:val="26"/>
          <w:szCs w:val="26"/>
          <w:lang w:bidi="ar-SA"/>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-7620</wp:posOffset>
                </wp:positionV>
                <wp:extent cx="114300" cy="457200"/>
                <wp:effectExtent l="9525" t="11430" r="57150" b="266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vjKwIAAE8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">
                <v:stroke endarrow="block"/>
              </v:line>
            </w:pict>
          </mc:Fallback>
        </mc:AlternateContent>
      </w:r>
      <w:r w:rsidR="00A10E91" w:rsidRPr="00CE70A6">
        <w:rPr>
          <w:rFonts w:asciiTheme="majorBidi" w:hAnsiTheme="majorBidi" w:cstheme="majorBidi"/>
          <w:sz w:val="26"/>
          <w:szCs w:val="26"/>
          <w:lang w:val="en-GB"/>
        </w:rPr>
        <w:t xml:space="preserve">                                                                         in parentheses           </w:t>
      </w:r>
    </w:p>
    <w:p w:rsidR="00A10E91" w:rsidRPr="00CE70A6" w:rsidRDefault="00F5082B" w:rsidP="00CE70A6">
      <w:pPr>
        <w:spacing w:line="360" w:lineRule="auto"/>
        <w:rPr>
          <w:rFonts w:asciiTheme="majorBidi" w:hAnsiTheme="majorBidi" w:cstheme="majorBidi"/>
          <w:sz w:val="26"/>
          <w:szCs w:val="26"/>
          <w:u w:val="single"/>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63360" behindDoc="0" locked="0" layoutInCell="1" allowOverlap="1">
                <wp:simplePos x="0" y="0"/>
                <wp:positionH relativeFrom="column">
                  <wp:posOffset>2853055</wp:posOffset>
                </wp:positionH>
                <wp:positionV relativeFrom="paragraph">
                  <wp:posOffset>7620</wp:posOffset>
                </wp:positionV>
                <wp:extent cx="114300" cy="228600"/>
                <wp:effectExtent l="52705" t="7620" r="13970" b="4000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65pt,.6pt" to="233.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ZqMQIAAFgEAAAOAAAAZHJzL2Uyb0RvYy54bWysVM2O2jAQvlfqO1i+Q342UI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">
                <v:stroke endarrow="block"/>
              </v:line>
            </w:pict>
          </mc:Fallback>
        </mc:AlternateContent>
      </w:r>
    </w:p>
    <w:p w:rsidR="00A10E91" w:rsidRPr="00CE70A6" w:rsidRDefault="00F5082B" w:rsidP="00573F57">
      <w:pPr>
        <w:spacing w:line="360" w:lineRule="auto"/>
        <w:rPr>
          <w:rFonts w:asciiTheme="majorBidi" w:hAnsiTheme="majorBidi" w:cstheme="majorBidi"/>
          <w:sz w:val="26"/>
          <w:szCs w:val="26"/>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65408" behindDoc="0" locked="0" layoutInCell="1" allowOverlap="1">
                <wp:simplePos x="0" y="0"/>
                <wp:positionH relativeFrom="column">
                  <wp:posOffset>852805</wp:posOffset>
                </wp:positionH>
                <wp:positionV relativeFrom="paragraph">
                  <wp:posOffset>467360</wp:posOffset>
                </wp:positionV>
                <wp:extent cx="1581150" cy="304800"/>
                <wp:effectExtent l="24130" t="57785" r="13970" b="889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8115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36.8pt" to="191.6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">
                <v:stroke endarrow="block"/>
              </v:line>
            </w:pict>
          </mc:Fallback>
        </mc:AlternateContent>
      </w:r>
      <w:r>
        <w:rPr>
          <w:rFonts w:asciiTheme="majorBidi" w:hAnsiTheme="majorBidi" w:cstheme="majorBidi"/>
          <w:noProof/>
          <w:sz w:val="26"/>
          <w:szCs w:val="26"/>
          <w:lang w:bidi="ar-SA"/>
        </w:rPr>
        <mc:AlternateContent>
          <mc:Choice Requires="wps">
            <w:drawing>
              <wp:anchor distT="0" distB="0" distL="114300" distR="114300" simplePos="0" relativeHeight="251664384" behindDoc="0" locked="0" layoutInCell="1" allowOverlap="1">
                <wp:simplePos x="0" y="0"/>
                <wp:positionH relativeFrom="column">
                  <wp:posOffset>1143000</wp:posOffset>
                </wp:positionH>
                <wp:positionV relativeFrom="paragraph">
                  <wp:posOffset>311150</wp:posOffset>
                </wp:positionV>
                <wp:extent cx="1943100" cy="518160"/>
                <wp:effectExtent l="9525" t="53975" r="28575" b="889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518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4.5pt" to="24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">
                <v:stroke endarrow="block"/>
              </v:line>
            </w:pict>
          </mc:Fallback>
        </mc:AlternateContent>
      </w:r>
      <w:r w:rsidR="00A10E91" w:rsidRPr="00CE70A6">
        <w:rPr>
          <w:rFonts w:asciiTheme="majorBidi" w:hAnsiTheme="majorBidi" w:cstheme="majorBidi"/>
          <w:sz w:val="26"/>
          <w:szCs w:val="26"/>
          <w:lang w:val="en-GB"/>
        </w:rPr>
        <w:t xml:space="preserve">N.    ¹Paul Tillich ,  </w:t>
      </w:r>
      <w:r w:rsidR="00A10E91" w:rsidRPr="00CE70A6">
        <w:rPr>
          <w:rFonts w:asciiTheme="majorBidi" w:hAnsiTheme="majorBidi" w:cstheme="majorBidi"/>
          <w:i/>
          <w:iCs/>
          <w:sz w:val="26"/>
          <w:szCs w:val="26"/>
          <w:lang w:val="en-GB"/>
        </w:rPr>
        <w:t>Systematic Theology</w:t>
      </w:r>
      <w:r w:rsidR="00A10E91" w:rsidRPr="00CE70A6">
        <w:rPr>
          <w:rFonts w:asciiTheme="majorBidi" w:hAnsiTheme="majorBidi" w:cstheme="majorBidi"/>
          <w:sz w:val="26"/>
          <w:szCs w:val="26"/>
          <w:lang w:val="en-GB"/>
        </w:rPr>
        <w:t xml:space="preserve"> (Chicago:    University of Chicago Press, 1963), 59.</w:t>
      </w:r>
    </w:p>
    <w:p w:rsidR="00A10E91" w:rsidRPr="00CE70A6" w:rsidRDefault="00A10E91" w:rsidP="00CE70A6">
      <w:pPr>
        <w:spacing w:line="360" w:lineRule="auto"/>
        <w:ind w:left="360"/>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Place of publication and                   Whole entry ends with period.  </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publisher separated by colon </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Reversed for                3 main divisions-          </w:t>
      </w:r>
    </w:p>
    <w:p w:rsidR="00A10E91" w:rsidRPr="00CE70A6" w:rsidRDefault="00F5082B" w:rsidP="00CE70A6">
      <w:pPr>
        <w:spacing w:line="360" w:lineRule="auto"/>
        <w:rPr>
          <w:rFonts w:asciiTheme="majorBidi" w:hAnsiTheme="majorBidi" w:cstheme="majorBidi"/>
          <w:sz w:val="26"/>
          <w:szCs w:val="26"/>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68480" behindDoc="0" locked="0" layoutInCell="1" allowOverlap="1">
                <wp:simplePos x="0" y="0"/>
                <wp:positionH relativeFrom="column">
                  <wp:posOffset>1633855</wp:posOffset>
                </wp:positionH>
                <wp:positionV relativeFrom="paragraph">
                  <wp:posOffset>217805</wp:posOffset>
                </wp:positionV>
                <wp:extent cx="400050" cy="587375"/>
                <wp:effectExtent l="52705" t="8255" r="13970" b="4254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587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5pt,17.15pt" to="160.1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">
                <v:stroke endarrow="block"/>
              </v:line>
            </w:pict>
          </mc:Fallback>
        </mc:AlternateContent>
      </w:r>
      <w:r w:rsidR="00A10E91" w:rsidRPr="00CE70A6">
        <w:rPr>
          <w:rFonts w:asciiTheme="majorBidi" w:hAnsiTheme="majorBidi" w:cstheme="majorBidi"/>
          <w:sz w:val="26"/>
          <w:szCs w:val="26"/>
          <w:lang w:val="en-GB"/>
        </w:rPr>
        <w:t>alphabetizing              author, title, publishing data- separated by periods.</w:t>
      </w:r>
    </w:p>
    <w:p w:rsidR="00A10E91" w:rsidRPr="00CE70A6" w:rsidRDefault="00F5082B" w:rsidP="00CE70A6">
      <w:pPr>
        <w:spacing w:line="360" w:lineRule="auto"/>
        <w:rPr>
          <w:rFonts w:asciiTheme="majorBidi" w:hAnsiTheme="majorBidi" w:cstheme="majorBidi"/>
          <w:sz w:val="26"/>
          <w:szCs w:val="26"/>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70528" behindDoc="0" locked="0" layoutInCell="1" allowOverlap="1">
                <wp:simplePos x="0" y="0"/>
                <wp:positionH relativeFrom="column">
                  <wp:posOffset>2748280</wp:posOffset>
                </wp:positionH>
                <wp:positionV relativeFrom="paragraph">
                  <wp:posOffset>0</wp:posOffset>
                </wp:positionV>
                <wp:extent cx="337820" cy="520700"/>
                <wp:effectExtent l="52705" t="9525" r="9525" b="4127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782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pt,0" to="24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">
                <v:stroke endarrow="block"/>
              </v:line>
            </w:pict>
          </mc:Fallback>
        </mc:AlternateContent>
      </w:r>
      <w:r>
        <w:rPr>
          <w:rFonts w:asciiTheme="majorBidi" w:hAnsiTheme="majorBidi" w:cstheme="majorBidi"/>
          <w:noProof/>
          <w:sz w:val="26"/>
          <w:szCs w:val="26"/>
          <w:lang w:bidi="ar-SA"/>
        </w:rPr>
        <mc:AlternateContent>
          <mc:Choice Requires="wps">
            <w:drawing>
              <wp:anchor distT="0" distB="0" distL="114300" distR="114300" simplePos="0" relativeHeight="251667456" behindDoc="0" locked="0" layoutInCell="1" allowOverlap="1">
                <wp:simplePos x="0" y="0"/>
                <wp:positionH relativeFrom="column">
                  <wp:posOffset>1195705</wp:posOffset>
                </wp:positionH>
                <wp:positionV relativeFrom="paragraph">
                  <wp:posOffset>0</wp:posOffset>
                </wp:positionV>
                <wp:extent cx="228600" cy="406400"/>
                <wp:effectExtent l="52705" t="9525" r="13970" b="4127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06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15pt,0" to="112.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">
                <v:stroke endarrow="block"/>
              </v:line>
            </w:pict>
          </mc:Fallback>
        </mc:AlternateContent>
      </w:r>
      <w:r>
        <w:rPr>
          <w:rFonts w:asciiTheme="majorBidi" w:hAnsiTheme="majorBidi" w:cstheme="majorBidi"/>
          <w:noProof/>
          <w:sz w:val="26"/>
          <w:szCs w:val="26"/>
          <w:lang w:bidi="ar-SA"/>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63500</wp:posOffset>
                </wp:positionV>
                <wp:extent cx="0" cy="342900"/>
                <wp:effectExtent l="57150" t="6350" r="57150" b="2222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W2KA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">
                <v:stroke endarrow="block"/>
              </v:line>
            </w:pict>
          </mc:Fallback>
        </mc:AlternateContent>
      </w:r>
      <w:r>
        <w:rPr>
          <w:rFonts w:asciiTheme="majorBidi" w:hAnsiTheme="majorBidi" w:cstheme="majorBidi"/>
          <w:noProof/>
          <w:sz w:val="26"/>
          <w:szCs w:val="26"/>
          <w:lang w:bidi="ar-SA"/>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63500</wp:posOffset>
                </wp:positionV>
                <wp:extent cx="0" cy="0"/>
                <wp:effectExtent l="9525" t="53975" r="19050" b="603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pt" to="2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">
                <v:stroke endarrow="block"/>
              </v:line>
            </w:pict>
          </mc:Fallback>
        </mc:AlternateConten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F5082B" w:rsidP="00CE70A6">
      <w:pPr>
        <w:spacing w:line="360" w:lineRule="auto"/>
        <w:rPr>
          <w:rFonts w:asciiTheme="majorBidi" w:hAnsiTheme="majorBidi" w:cstheme="majorBidi"/>
          <w:sz w:val="26"/>
          <w:szCs w:val="26"/>
          <w:lang w:val="en-GB"/>
        </w:rPr>
      </w:pPr>
      <w:r>
        <w:rPr>
          <w:rFonts w:asciiTheme="majorBidi" w:hAnsiTheme="majorBidi" w:cstheme="majorBidi"/>
          <w:noProof/>
          <w:sz w:val="26"/>
          <w:szCs w:val="26"/>
          <w:lang w:bidi="ar-SA"/>
        </w:rPr>
        <mc:AlternateContent>
          <mc:Choice Requires="wps">
            <w:drawing>
              <wp:anchor distT="0" distB="0" distL="114300" distR="114300" simplePos="0" relativeHeight="251671552" behindDoc="0" locked="0" layoutInCell="1" allowOverlap="1">
                <wp:simplePos x="0" y="0"/>
                <wp:positionH relativeFrom="column">
                  <wp:posOffset>1029335</wp:posOffset>
                </wp:positionH>
                <wp:positionV relativeFrom="paragraph">
                  <wp:posOffset>259080</wp:posOffset>
                </wp:positionV>
                <wp:extent cx="1718945" cy="447675"/>
                <wp:effectExtent l="10160" t="59055" r="33020" b="762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8945"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5pt,20.4pt" to="216.4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">
                <v:stroke endarrow="block"/>
              </v:line>
            </w:pict>
          </mc:Fallback>
        </mc:AlternateContent>
      </w:r>
      <w:r w:rsidR="00A10E91" w:rsidRPr="00CE70A6">
        <w:rPr>
          <w:rFonts w:asciiTheme="majorBidi" w:hAnsiTheme="majorBidi" w:cstheme="majorBidi"/>
          <w:sz w:val="26"/>
          <w:szCs w:val="26"/>
          <w:lang w:val="en-GB"/>
        </w:rPr>
        <w:t xml:space="preserve">B.     Tillich, Paul. </w:t>
      </w:r>
      <w:r w:rsidR="00A10E91" w:rsidRPr="00CE70A6">
        <w:rPr>
          <w:rFonts w:asciiTheme="majorBidi" w:hAnsiTheme="majorBidi" w:cstheme="majorBidi"/>
          <w:i/>
          <w:iCs/>
          <w:sz w:val="26"/>
          <w:szCs w:val="26"/>
          <w:lang w:val="en-GB"/>
        </w:rPr>
        <w:t>Systematic Theology</w:t>
      </w:r>
      <w:r w:rsidR="00A10E91" w:rsidRPr="00CE70A6">
        <w:rPr>
          <w:rFonts w:asciiTheme="majorBidi" w:hAnsiTheme="majorBidi" w:cstheme="majorBidi"/>
          <w:sz w:val="26"/>
          <w:szCs w:val="26"/>
          <w:lang w:val="en-GB"/>
        </w:rPr>
        <w:t xml:space="preserve">. Chicago: University of Chicago Press, 1963.                                           </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No parentheses.             </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          </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One author, later edition</w:t>
      </w:r>
    </w:p>
    <w:p w:rsidR="00A10E91" w:rsidRPr="00CE70A6" w:rsidRDefault="00A10E91" w:rsidP="00CE70A6">
      <w:pPr>
        <w:spacing w:line="360" w:lineRule="auto"/>
        <w:rPr>
          <w:rFonts w:asciiTheme="majorBidi" w:hAnsiTheme="majorBidi" w:cstheme="majorBidi"/>
          <w:b/>
          <w:bCs/>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² Samuel M. Elkins, </w:t>
      </w:r>
      <w:r w:rsidRPr="00CE70A6">
        <w:rPr>
          <w:rFonts w:asciiTheme="majorBidi" w:hAnsiTheme="majorBidi" w:cstheme="majorBidi"/>
          <w:i/>
          <w:iCs/>
          <w:sz w:val="26"/>
          <w:szCs w:val="26"/>
          <w:lang w:val="en-GB"/>
        </w:rPr>
        <w:t>Slavery: A Problem in American Institutional and Intellectual Life</w:t>
      </w:r>
      <w:r w:rsidRPr="00CE70A6">
        <w:rPr>
          <w:rFonts w:asciiTheme="majorBidi" w:hAnsiTheme="majorBidi" w:cstheme="majorBidi"/>
          <w:sz w:val="26"/>
          <w:szCs w:val="26"/>
          <w:lang w:val="en-GB"/>
        </w:rPr>
        <w:t>, 2</w:t>
      </w:r>
      <w:r w:rsidRPr="00CE70A6">
        <w:rPr>
          <w:rFonts w:asciiTheme="majorBidi" w:hAnsiTheme="majorBidi" w:cstheme="majorBidi"/>
          <w:sz w:val="26"/>
          <w:szCs w:val="26"/>
          <w:vertAlign w:val="superscript"/>
          <w:lang w:val="en-GB"/>
        </w:rPr>
        <w:t>nd</w:t>
      </w:r>
      <w:r w:rsidRPr="00CE70A6">
        <w:rPr>
          <w:rFonts w:asciiTheme="majorBidi" w:hAnsiTheme="majorBidi" w:cstheme="majorBidi"/>
          <w:sz w:val="26"/>
          <w:szCs w:val="26"/>
          <w:lang w:val="en-GB"/>
        </w:rPr>
        <w:t xml:space="preserve"> ed. (Chicago: The University of Chicago Press, 1968), 24.</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Elkins, S. M. </w:t>
      </w:r>
      <w:r w:rsidRPr="00CE70A6">
        <w:rPr>
          <w:rFonts w:asciiTheme="majorBidi" w:hAnsiTheme="majorBidi" w:cstheme="majorBidi"/>
          <w:i/>
          <w:iCs/>
          <w:sz w:val="26"/>
          <w:szCs w:val="26"/>
          <w:lang w:val="en-GB"/>
        </w:rPr>
        <w:t>Slavery: A Problem in American Institutional and Intellectual Life</w:t>
      </w:r>
      <w:r w:rsidRPr="00CE70A6">
        <w:rPr>
          <w:rFonts w:asciiTheme="majorBidi" w:hAnsiTheme="majorBidi" w:cstheme="majorBidi"/>
          <w:sz w:val="26"/>
          <w:szCs w:val="26"/>
          <w:lang w:val="en-GB"/>
        </w:rPr>
        <w:t>. 2</w:t>
      </w:r>
      <w:r w:rsidRPr="00CE70A6">
        <w:rPr>
          <w:rFonts w:asciiTheme="majorBidi" w:hAnsiTheme="majorBidi" w:cstheme="majorBidi"/>
          <w:sz w:val="26"/>
          <w:szCs w:val="26"/>
          <w:vertAlign w:val="superscript"/>
          <w:lang w:val="en-GB"/>
        </w:rPr>
        <w:t>nd</w:t>
      </w:r>
      <w:r w:rsidRPr="00CE70A6">
        <w:rPr>
          <w:rFonts w:asciiTheme="majorBidi" w:hAnsiTheme="majorBidi" w:cstheme="majorBidi"/>
          <w:sz w:val="26"/>
          <w:szCs w:val="26"/>
          <w:lang w:val="en-GB"/>
        </w:rPr>
        <w:t xml:space="preserve"> ed. Chicago: The University of Chicago Press, 1968.</w:t>
      </w:r>
    </w:p>
    <w:p w:rsidR="00A10E91" w:rsidRPr="00CE70A6" w:rsidRDefault="00A10E91" w:rsidP="00CE70A6">
      <w:pPr>
        <w:spacing w:line="360" w:lineRule="auto"/>
        <w:rPr>
          <w:rFonts w:asciiTheme="majorBidi" w:hAnsiTheme="majorBidi" w:cstheme="majorBidi"/>
          <w:sz w:val="26"/>
          <w:szCs w:val="26"/>
          <w:lang w:val="en-GB"/>
        </w:rPr>
      </w:pPr>
    </w:p>
    <w:p w:rsidR="00F55E4B" w:rsidRDefault="00F55E4B" w:rsidP="00CE70A6">
      <w:pPr>
        <w:spacing w:line="360" w:lineRule="auto"/>
        <w:rPr>
          <w:rFonts w:asciiTheme="majorBidi" w:hAnsiTheme="majorBidi" w:cstheme="majorBidi"/>
          <w:b/>
          <w:bCs/>
          <w:sz w:val="26"/>
          <w:szCs w:val="26"/>
          <w:lang w:val="en-GB"/>
        </w:rPr>
      </w:pPr>
    </w:p>
    <w:p w:rsidR="00F55E4B" w:rsidRDefault="00F55E4B" w:rsidP="00CE70A6">
      <w:pPr>
        <w:spacing w:line="360" w:lineRule="auto"/>
        <w:rPr>
          <w:rFonts w:asciiTheme="majorBidi" w:hAnsiTheme="majorBidi" w:cstheme="majorBidi"/>
          <w:b/>
          <w:bCs/>
          <w:sz w:val="26"/>
          <w:szCs w:val="26"/>
          <w:lang w:val="en-GB"/>
        </w:rPr>
      </w:pPr>
    </w:p>
    <w:p w:rsidR="00F55E4B" w:rsidRDefault="00F55E4B" w:rsidP="00CE70A6">
      <w:pPr>
        <w:spacing w:line="360" w:lineRule="auto"/>
        <w:rPr>
          <w:rFonts w:asciiTheme="majorBidi" w:hAnsiTheme="majorBidi" w:cstheme="majorBidi"/>
          <w:b/>
          <w:bCs/>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lastRenderedPageBreak/>
        <w:t>One author, reprinted book</w:t>
      </w:r>
    </w:p>
    <w:p w:rsidR="00A10E91" w:rsidRPr="00CE70A6" w:rsidRDefault="00A10E91" w:rsidP="00CE70A6">
      <w:pPr>
        <w:spacing w:line="360" w:lineRule="auto"/>
        <w:rPr>
          <w:rFonts w:asciiTheme="majorBidi" w:hAnsiTheme="majorBidi" w:cstheme="majorBidi"/>
          <w:b/>
          <w:bCs/>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3</w:t>
      </w:r>
      <w:r w:rsidRPr="00CE70A6">
        <w:rPr>
          <w:rFonts w:asciiTheme="majorBidi" w:hAnsiTheme="majorBidi" w:cstheme="majorBidi"/>
          <w:sz w:val="26"/>
          <w:szCs w:val="26"/>
          <w:lang w:val="en-GB"/>
        </w:rPr>
        <w:t xml:space="preserve"> Lesley Gann, </w:t>
      </w:r>
      <w:r w:rsidRPr="00CE70A6">
        <w:rPr>
          <w:rFonts w:asciiTheme="majorBidi" w:hAnsiTheme="majorBidi" w:cstheme="majorBidi"/>
          <w:i/>
          <w:iCs/>
          <w:sz w:val="26"/>
          <w:szCs w:val="26"/>
          <w:lang w:val="en-GB"/>
        </w:rPr>
        <w:t xml:space="preserve">Colonialism in Africa, 1870-1960 </w:t>
      </w:r>
      <w:r w:rsidRPr="00CE70A6">
        <w:rPr>
          <w:rFonts w:asciiTheme="majorBidi" w:hAnsiTheme="majorBidi" w:cstheme="majorBidi"/>
          <w:sz w:val="26"/>
          <w:szCs w:val="26"/>
          <w:lang w:val="en-GB"/>
        </w:rPr>
        <w:t>(Cambridge: Cambridge University Press, 1982; reprint, Cambridge: Cambridge University Press, 1984), 123.</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Gann, Lesley. </w:t>
      </w:r>
      <w:r w:rsidRPr="00CE70A6">
        <w:rPr>
          <w:rFonts w:asciiTheme="majorBidi" w:hAnsiTheme="majorBidi" w:cstheme="majorBidi"/>
          <w:i/>
          <w:iCs/>
          <w:sz w:val="26"/>
          <w:szCs w:val="26"/>
          <w:lang w:val="en-GB"/>
        </w:rPr>
        <w:t>Colonialism in Africa, 1870-1960</w:t>
      </w:r>
      <w:r w:rsidRPr="00CE70A6">
        <w:rPr>
          <w:rFonts w:asciiTheme="majorBidi" w:hAnsiTheme="majorBidi" w:cstheme="majorBidi"/>
          <w:sz w:val="26"/>
          <w:szCs w:val="26"/>
          <w:lang w:val="en-GB"/>
        </w:rPr>
        <w:t>. Cambridge: Cambridge University Press, 1982. Reprint, Cambridge: Cambridge University Press, 1984.</w:t>
      </w:r>
    </w:p>
    <w:p w:rsidR="00A10E91" w:rsidRPr="00CE70A6" w:rsidRDefault="00A10E91" w:rsidP="00CE70A6">
      <w:pPr>
        <w:spacing w:line="360" w:lineRule="auto"/>
        <w:rPr>
          <w:rFonts w:asciiTheme="majorBidi" w:hAnsiTheme="majorBidi" w:cstheme="majorBidi"/>
          <w:sz w:val="26"/>
          <w:szCs w:val="26"/>
          <w:u w:val="single"/>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b/>
          <w:bCs/>
          <w:sz w:val="26"/>
          <w:szCs w:val="26"/>
          <w:lang w:val="en-GB"/>
        </w:rPr>
        <w:t>Two authors</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4</w:t>
      </w:r>
      <w:r w:rsidRPr="00CE70A6">
        <w:rPr>
          <w:rFonts w:asciiTheme="majorBidi" w:hAnsiTheme="majorBidi" w:cstheme="majorBidi"/>
          <w:sz w:val="26"/>
          <w:szCs w:val="26"/>
          <w:lang w:val="en-GB"/>
        </w:rPr>
        <w:t xml:space="preserve">Walter  Houghton and  Robert Stange, </w:t>
      </w:r>
      <w:r w:rsidRPr="00CE70A6">
        <w:rPr>
          <w:rFonts w:asciiTheme="majorBidi" w:hAnsiTheme="majorBidi" w:cstheme="majorBidi"/>
          <w:i/>
          <w:iCs/>
          <w:sz w:val="26"/>
          <w:szCs w:val="26"/>
          <w:lang w:val="en-GB"/>
        </w:rPr>
        <w:t>Victorian Poetry and poetics</w:t>
      </w:r>
      <w:r w:rsidRPr="00CE70A6">
        <w:rPr>
          <w:rFonts w:asciiTheme="majorBidi" w:hAnsiTheme="majorBidi" w:cstheme="majorBidi"/>
          <w:sz w:val="26"/>
          <w:szCs w:val="26"/>
          <w:lang w:val="en-GB"/>
        </w:rPr>
        <w:t>, (Cambridge: Cambridge University Press, 2007), 32.</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Houghton, Walter, and Stange Robert. </w:t>
      </w:r>
      <w:r w:rsidRPr="00CE70A6">
        <w:rPr>
          <w:rFonts w:asciiTheme="majorBidi" w:hAnsiTheme="majorBidi" w:cstheme="majorBidi"/>
          <w:i/>
          <w:iCs/>
          <w:sz w:val="26"/>
          <w:szCs w:val="26"/>
          <w:lang w:val="en-GB"/>
        </w:rPr>
        <w:t>Victorian Poetry and poetics</w:t>
      </w:r>
      <w:r w:rsidRPr="00CE70A6">
        <w:rPr>
          <w:rFonts w:asciiTheme="majorBidi" w:hAnsiTheme="majorBidi" w:cstheme="majorBidi"/>
          <w:sz w:val="26"/>
          <w:szCs w:val="26"/>
          <w:lang w:val="en-GB"/>
        </w:rPr>
        <w:t>. Cambridge: Harvard University Press, 2007.</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Three authors</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5</w:t>
      </w:r>
      <w:r w:rsidRPr="00CE70A6">
        <w:rPr>
          <w:rFonts w:asciiTheme="majorBidi" w:hAnsiTheme="majorBidi" w:cstheme="majorBidi"/>
          <w:sz w:val="26"/>
          <w:szCs w:val="26"/>
          <w:lang w:val="en-GB"/>
        </w:rPr>
        <w:t xml:space="preserve">Bernard Berelson, Paul Lazarsfeld, and William McPhee, </w:t>
      </w:r>
      <w:r w:rsidRPr="00CE70A6">
        <w:rPr>
          <w:rFonts w:asciiTheme="majorBidi" w:hAnsiTheme="majorBidi" w:cstheme="majorBidi"/>
          <w:i/>
          <w:iCs/>
          <w:sz w:val="26"/>
          <w:szCs w:val="26"/>
          <w:lang w:val="en-GB"/>
        </w:rPr>
        <w:t xml:space="preserve">Voting </w:t>
      </w:r>
      <w:r w:rsidRPr="00CE70A6">
        <w:rPr>
          <w:rFonts w:asciiTheme="majorBidi" w:hAnsiTheme="majorBidi" w:cstheme="majorBidi"/>
          <w:sz w:val="26"/>
          <w:szCs w:val="26"/>
          <w:lang w:val="en-GB"/>
        </w:rPr>
        <w:t>(Chicago: University of Chicago Press, 1954), 93-95.</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Berelson, Bernard, Paul Lazarsfeld, and William McPhee. </w:t>
      </w:r>
      <w:r w:rsidRPr="00CE70A6">
        <w:rPr>
          <w:rFonts w:asciiTheme="majorBidi" w:hAnsiTheme="majorBidi" w:cstheme="majorBidi"/>
          <w:i/>
          <w:iCs/>
          <w:sz w:val="26"/>
          <w:szCs w:val="26"/>
          <w:lang w:val="en-GB"/>
        </w:rPr>
        <w:t>Voting.</w:t>
      </w:r>
      <w:r w:rsidRPr="00CE70A6">
        <w:rPr>
          <w:rFonts w:asciiTheme="majorBidi" w:hAnsiTheme="majorBidi" w:cstheme="majorBidi"/>
          <w:sz w:val="26"/>
          <w:szCs w:val="26"/>
          <w:lang w:val="en-GB"/>
        </w:rPr>
        <w:t xml:space="preserve"> Chicago: University of Chicago Press, 1954.</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More than three authors</w:t>
      </w:r>
    </w:p>
    <w:p w:rsidR="00A10E91" w:rsidRPr="00CE70A6" w:rsidRDefault="00A10E91" w:rsidP="00CE70A6">
      <w:pPr>
        <w:spacing w:line="360" w:lineRule="auto"/>
        <w:rPr>
          <w:rFonts w:asciiTheme="majorBidi" w:hAnsiTheme="majorBidi" w:cstheme="majorBidi"/>
          <w:b/>
          <w:bCs/>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6</w:t>
      </w:r>
      <w:r w:rsidRPr="00CE70A6">
        <w:rPr>
          <w:rFonts w:asciiTheme="majorBidi" w:hAnsiTheme="majorBidi" w:cstheme="majorBidi"/>
          <w:sz w:val="26"/>
          <w:szCs w:val="26"/>
          <w:lang w:val="en-GB"/>
        </w:rPr>
        <w:t xml:space="preserve"> Jaroslav Pelikan et al., </w:t>
      </w:r>
      <w:r w:rsidRPr="00CE70A6">
        <w:rPr>
          <w:rFonts w:asciiTheme="majorBidi" w:hAnsiTheme="majorBidi" w:cstheme="majorBidi"/>
          <w:i/>
          <w:iCs/>
          <w:sz w:val="26"/>
          <w:szCs w:val="26"/>
          <w:lang w:val="en-GB"/>
        </w:rPr>
        <w:t>Religion and the University</w:t>
      </w:r>
      <w:r w:rsidRPr="00CE70A6">
        <w:rPr>
          <w:rFonts w:asciiTheme="majorBidi" w:hAnsiTheme="majorBidi" w:cstheme="majorBidi"/>
          <w:sz w:val="26"/>
          <w:szCs w:val="26"/>
          <w:lang w:val="en-GB"/>
        </w:rPr>
        <w:t xml:space="preserve"> (Toronto: University of Toronto Press, 1964), 109. </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Pelikan, Jaroslav, Ross M. G. Pollard, W. G. Eisendrath, M. N. Moeller, and Aline Wittenberg. </w:t>
      </w:r>
      <w:r w:rsidRPr="00CE70A6">
        <w:rPr>
          <w:rFonts w:asciiTheme="majorBidi" w:hAnsiTheme="majorBidi" w:cstheme="majorBidi"/>
          <w:i/>
          <w:iCs/>
          <w:sz w:val="26"/>
          <w:szCs w:val="26"/>
          <w:lang w:val="en-GB"/>
        </w:rPr>
        <w:t>Religion and the University</w:t>
      </w:r>
      <w:r w:rsidRPr="00CE70A6">
        <w:rPr>
          <w:rFonts w:asciiTheme="majorBidi" w:hAnsiTheme="majorBidi" w:cstheme="majorBidi"/>
          <w:sz w:val="26"/>
          <w:szCs w:val="26"/>
          <w:lang w:val="en-GB"/>
        </w:rPr>
        <w:t>. Toronto: University of Toronto Press, 1964.</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No author given</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7</w:t>
      </w:r>
      <w:r w:rsidRPr="00CE70A6">
        <w:rPr>
          <w:rFonts w:asciiTheme="majorBidi" w:hAnsiTheme="majorBidi" w:cstheme="majorBidi"/>
          <w:sz w:val="26"/>
          <w:szCs w:val="26"/>
          <w:lang w:val="en-GB"/>
        </w:rPr>
        <w:t xml:space="preserve"> </w:t>
      </w:r>
      <w:r w:rsidRPr="00CE70A6">
        <w:rPr>
          <w:rFonts w:asciiTheme="majorBidi" w:hAnsiTheme="majorBidi" w:cstheme="majorBidi"/>
          <w:i/>
          <w:iCs/>
          <w:sz w:val="26"/>
          <w:szCs w:val="26"/>
          <w:lang w:val="en-GB"/>
        </w:rPr>
        <w:t>The lottery</w:t>
      </w:r>
      <w:r w:rsidRPr="00CE70A6">
        <w:rPr>
          <w:rFonts w:asciiTheme="majorBidi" w:hAnsiTheme="majorBidi" w:cstheme="majorBidi"/>
          <w:sz w:val="26"/>
          <w:szCs w:val="26"/>
          <w:lang w:val="en-GB"/>
        </w:rPr>
        <w:t xml:space="preserve"> (London : J. Watts, [1732]), 20-25.</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w:t>
      </w:r>
      <w:r w:rsidRPr="00CE70A6">
        <w:rPr>
          <w:rFonts w:asciiTheme="majorBidi" w:hAnsiTheme="majorBidi" w:cstheme="majorBidi"/>
          <w:i/>
          <w:iCs/>
          <w:sz w:val="26"/>
          <w:szCs w:val="26"/>
          <w:lang w:val="en-GB"/>
        </w:rPr>
        <w:t>The Lottery</w:t>
      </w:r>
      <w:r w:rsidRPr="00CE70A6">
        <w:rPr>
          <w:rFonts w:asciiTheme="majorBidi" w:hAnsiTheme="majorBidi" w:cstheme="majorBidi"/>
          <w:sz w:val="26"/>
          <w:szCs w:val="26"/>
          <w:lang w:val="en-GB"/>
        </w:rPr>
        <w:t xml:space="preserve">. London : J. Watts, [1732].  </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An anthology with editors in place of authors</w:t>
      </w:r>
    </w:p>
    <w:p w:rsidR="00A10E91" w:rsidRPr="00CE70A6" w:rsidRDefault="00A10E91" w:rsidP="00CE70A6">
      <w:pPr>
        <w:spacing w:line="360" w:lineRule="auto"/>
        <w:rPr>
          <w:rFonts w:asciiTheme="majorBidi" w:hAnsiTheme="majorBidi" w:cstheme="majorBidi"/>
          <w:i/>
          <w:iCs/>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7</w:t>
      </w:r>
      <w:r w:rsidRPr="00CE70A6">
        <w:rPr>
          <w:rFonts w:asciiTheme="majorBidi" w:hAnsiTheme="majorBidi" w:cstheme="majorBidi"/>
          <w:sz w:val="26"/>
          <w:szCs w:val="26"/>
          <w:lang w:val="en-GB"/>
        </w:rPr>
        <w:t xml:space="preserve"> </w:t>
      </w:r>
      <w:r w:rsidRPr="00CE70A6">
        <w:rPr>
          <w:rFonts w:asciiTheme="majorBidi" w:hAnsiTheme="majorBidi" w:cstheme="majorBidi"/>
          <w:i/>
          <w:iCs/>
          <w:sz w:val="26"/>
          <w:szCs w:val="26"/>
          <w:lang w:val="en-GB"/>
        </w:rPr>
        <w:t>The Norton Anthology of African American Literature</w:t>
      </w:r>
      <w:r w:rsidRPr="00CE70A6">
        <w:rPr>
          <w:rFonts w:asciiTheme="majorBidi" w:hAnsiTheme="majorBidi" w:cstheme="majorBidi"/>
          <w:sz w:val="26"/>
          <w:szCs w:val="26"/>
          <w:lang w:val="en-GB"/>
        </w:rPr>
        <w:t>, ed. Henry Louis Gates and Nellie Y. McKay (New York: Norton, 1997), 122.</w:t>
      </w:r>
      <w:r w:rsidRPr="00CE70A6">
        <w:rPr>
          <w:rFonts w:asciiTheme="majorBidi" w:hAnsiTheme="majorBidi" w:cstheme="majorBidi"/>
          <w:i/>
          <w:iCs/>
          <w:sz w:val="26"/>
          <w:szCs w:val="26"/>
          <w:lang w:val="en-GB"/>
        </w:rPr>
        <w:t xml:space="preserve"> </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Gates, Henry Louis, and Nellie Y. McKay, eds. </w:t>
      </w:r>
      <w:r w:rsidRPr="00CE70A6">
        <w:rPr>
          <w:rFonts w:asciiTheme="majorBidi" w:hAnsiTheme="majorBidi" w:cstheme="majorBidi"/>
          <w:i/>
          <w:iCs/>
          <w:sz w:val="26"/>
          <w:szCs w:val="26"/>
          <w:lang w:val="en-GB"/>
        </w:rPr>
        <w:t>The Norton Anthology of African American Literature.</w:t>
      </w:r>
      <w:r w:rsidRPr="00CE70A6">
        <w:rPr>
          <w:rFonts w:asciiTheme="majorBidi" w:hAnsiTheme="majorBidi" w:cstheme="majorBidi"/>
          <w:sz w:val="26"/>
          <w:szCs w:val="26"/>
          <w:lang w:val="en-GB"/>
        </w:rPr>
        <w:t xml:space="preserve"> New York: Norton, 1997.   </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sz w:val="26"/>
          <w:szCs w:val="26"/>
          <w:lang w:val="en-GB"/>
        </w:rPr>
        <w:t xml:space="preserve"> </w:t>
      </w:r>
      <w:r w:rsidRPr="00CE70A6">
        <w:rPr>
          <w:rFonts w:asciiTheme="majorBidi" w:hAnsiTheme="majorBidi" w:cstheme="majorBidi"/>
          <w:b/>
          <w:bCs/>
          <w:sz w:val="26"/>
          <w:szCs w:val="26"/>
          <w:lang w:val="en-GB"/>
        </w:rPr>
        <w:t>Chapter in an edited collection</w:t>
      </w:r>
    </w:p>
    <w:p w:rsidR="00A10E91" w:rsidRPr="00CE70A6" w:rsidRDefault="00A10E91" w:rsidP="00CE70A6">
      <w:pPr>
        <w:spacing w:line="360" w:lineRule="auto"/>
        <w:jc w:val="both"/>
        <w:rPr>
          <w:rFonts w:asciiTheme="majorBidi" w:hAnsiTheme="majorBidi" w:cstheme="majorBidi"/>
          <w:b/>
          <w:bCs/>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8</w:t>
      </w:r>
      <w:r w:rsidRPr="00CE70A6">
        <w:rPr>
          <w:rFonts w:asciiTheme="majorBidi" w:hAnsiTheme="majorBidi" w:cstheme="majorBidi"/>
          <w:sz w:val="26"/>
          <w:szCs w:val="26"/>
          <w:lang w:val="en-GB"/>
        </w:rPr>
        <w:t xml:space="preserve"> C. Kovesi, “Engendering Lust in Early Modern Italy: Pisanello’s Luxuria”, in </w:t>
      </w:r>
      <w:r w:rsidRPr="00CE70A6">
        <w:rPr>
          <w:rFonts w:asciiTheme="majorBidi" w:hAnsiTheme="majorBidi" w:cstheme="majorBidi"/>
          <w:i/>
          <w:iCs/>
          <w:sz w:val="26"/>
          <w:szCs w:val="26"/>
          <w:lang w:val="en-GB"/>
        </w:rPr>
        <w:t>Practices of Gender in Late Medieval and Early Modern Europe</w:t>
      </w:r>
      <w:r w:rsidRPr="00CE70A6">
        <w:rPr>
          <w:rFonts w:asciiTheme="majorBidi" w:hAnsiTheme="majorBidi" w:cstheme="majorBidi"/>
          <w:sz w:val="26"/>
          <w:szCs w:val="26"/>
          <w:lang w:val="en-GB"/>
        </w:rPr>
        <w:t>, eds. Megan Cassidy-Welch and Peter Sherlock (Turnhout: Brepols, 2008), 111-2</w:t>
      </w:r>
      <w:r w:rsidRPr="00CE70A6">
        <w:rPr>
          <w:rFonts w:asciiTheme="majorBidi" w:hAnsiTheme="majorBidi" w:cstheme="majorBidi"/>
          <w:b/>
          <w:bCs/>
          <w:sz w:val="26"/>
          <w:szCs w:val="26"/>
          <w:lang w:val="en-GB"/>
        </w:rPr>
        <w:t>.</w:t>
      </w:r>
    </w:p>
    <w:p w:rsidR="00A10E91" w:rsidRPr="00CE70A6" w:rsidRDefault="00A10E91" w:rsidP="00CE70A6">
      <w:pPr>
        <w:spacing w:line="360" w:lineRule="auto"/>
        <w:rPr>
          <w:rFonts w:asciiTheme="majorBidi" w:hAnsiTheme="majorBidi" w:cstheme="majorBidi"/>
          <w:sz w:val="26"/>
          <w:szCs w:val="26"/>
          <w:lang w:val="en-US"/>
        </w:rPr>
      </w:pPr>
    </w:p>
    <w:p w:rsidR="00A10E91" w:rsidRPr="00CE70A6" w:rsidRDefault="00A10E91" w:rsidP="00CE70A6">
      <w:pPr>
        <w:spacing w:line="360" w:lineRule="auto"/>
        <w:jc w:val="both"/>
        <w:rPr>
          <w:rFonts w:asciiTheme="majorBidi" w:hAnsiTheme="majorBidi" w:cstheme="majorBidi"/>
          <w:b/>
          <w:bCs/>
          <w:sz w:val="26"/>
          <w:szCs w:val="26"/>
          <w:lang w:val="en-GB"/>
        </w:rPr>
      </w:pPr>
      <w:r w:rsidRPr="00CE70A6">
        <w:rPr>
          <w:rFonts w:asciiTheme="majorBidi" w:hAnsiTheme="majorBidi" w:cstheme="majorBidi"/>
          <w:sz w:val="26"/>
          <w:szCs w:val="26"/>
          <w:lang w:val="en-GB"/>
        </w:rPr>
        <w:t xml:space="preserve">B       Kovesi, C. “Engendering Lust in Early Modern Italy: Pisanello’s Luxuria.” In </w:t>
      </w:r>
      <w:r w:rsidRPr="00CE70A6">
        <w:rPr>
          <w:rFonts w:asciiTheme="majorBidi" w:hAnsiTheme="majorBidi" w:cstheme="majorBidi"/>
          <w:i/>
          <w:iCs/>
          <w:sz w:val="26"/>
          <w:szCs w:val="26"/>
          <w:lang w:val="en-GB"/>
        </w:rPr>
        <w:t>Practices of Gender in Late Medieval and Early Modern Europe</w:t>
      </w:r>
      <w:r w:rsidRPr="00CE70A6">
        <w:rPr>
          <w:rFonts w:asciiTheme="majorBidi" w:hAnsiTheme="majorBidi" w:cstheme="majorBidi"/>
          <w:sz w:val="26"/>
          <w:szCs w:val="26"/>
          <w:lang w:val="en-GB"/>
        </w:rPr>
        <w:t>, edited by Megan Cassidy-Welch and Peter Sherlock. 137-150. Turnhout: Brepols, 2008</w:t>
      </w:r>
      <w:r w:rsidRPr="00CE70A6">
        <w:rPr>
          <w:rFonts w:asciiTheme="majorBidi" w:hAnsiTheme="majorBidi" w:cstheme="majorBidi"/>
          <w:b/>
          <w:bCs/>
          <w:sz w:val="26"/>
          <w:szCs w:val="26"/>
          <w:lang w:val="en-GB"/>
        </w:rPr>
        <w:t>.</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Articles:</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Article in a journal</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9</w:t>
      </w:r>
      <w:r w:rsidRPr="00CE70A6">
        <w:rPr>
          <w:rFonts w:asciiTheme="majorBidi" w:hAnsiTheme="majorBidi" w:cstheme="majorBidi"/>
          <w:sz w:val="26"/>
          <w:szCs w:val="26"/>
          <w:lang w:val="en-GB"/>
        </w:rPr>
        <w:t xml:space="preserve"> Don Swanson, “Dialogue with a Catalogue”, </w:t>
      </w:r>
      <w:r w:rsidRPr="00CE70A6">
        <w:rPr>
          <w:rFonts w:asciiTheme="majorBidi" w:hAnsiTheme="majorBidi" w:cstheme="majorBidi"/>
          <w:i/>
          <w:iCs/>
          <w:sz w:val="26"/>
          <w:szCs w:val="26"/>
          <w:lang w:val="en-GB"/>
        </w:rPr>
        <w:t>Library Quarterly</w:t>
      </w:r>
      <w:r w:rsidRPr="00CE70A6">
        <w:rPr>
          <w:rFonts w:asciiTheme="majorBidi" w:hAnsiTheme="majorBidi" w:cstheme="majorBidi"/>
          <w:sz w:val="26"/>
          <w:szCs w:val="26"/>
          <w:lang w:val="en-GB"/>
        </w:rPr>
        <w:t xml:space="preserve"> 34 (December 1993): 115.</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Swanson, Don. “Dialogue with a Catalogue”. </w:t>
      </w:r>
      <w:r w:rsidRPr="00CE70A6">
        <w:rPr>
          <w:rFonts w:asciiTheme="majorBidi" w:hAnsiTheme="majorBidi" w:cstheme="majorBidi"/>
          <w:i/>
          <w:iCs/>
          <w:sz w:val="26"/>
          <w:szCs w:val="26"/>
          <w:lang w:val="en-GB"/>
        </w:rPr>
        <w:t>Library Quarterly</w:t>
      </w:r>
      <w:r w:rsidRPr="00CE70A6">
        <w:rPr>
          <w:rFonts w:asciiTheme="majorBidi" w:hAnsiTheme="majorBidi" w:cstheme="majorBidi"/>
          <w:sz w:val="26"/>
          <w:szCs w:val="26"/>
          <w:lang w:val="en-GB"/>
        </w:rPr>
        <w:t xml:space="preserve"> 34 (December 1993): 113-25.</w:t>
      </w:r>
    </w:p>
    <w:p w:rsidR="00A10E91" w:rsidRPr="00CE70A6" w:rsidRDefault="00A10E91" w:rsidP="00CE70A6">
      <w:pPr>
        <w:spacing w:line="360" w:lineRule="auto"/>
        <w:rPr>
          <w:rFonts w:asciiTheme="majorBidi" w:hAnsiTheme="majorBidi" w:cstheme="majorBidi"/>
          <w:sz w:val="26"/>
          <w:szCs w:val="26"/>
          <w:lang w:val="en-GB"/>
        </w:rPr>
      </w:pPr>
    </w:p>
    <w:p w:rsidR="00F55E4B" w:rsidRDefault="00F55E4B" w:rsidP="00CE70A6">
      <w:pPr>
        <w:spacing w:line="360" w:lineRule="auto"/>
        <w:rPr>
          <w:rFonts w:asciiTheme="majorBidi" w:hAnsiTheme="majorBidi" w:cstheme="majorBidi"/>
          <w:b/>
          <w:bCs/>
          <w:sz w:val="26"/>
          <w:szCs w:val="26"/>
          <w:lang w:val="en-US"/>
        </w:rPr>
      </w:pPr>
    </w:p>
    <w:p w:rsidR="00F55E4B" w:rsidRDefault="00F55E4B" w:rsidP="00CE70A6">
      <w:pPr>
        <w:spacing w:line="360" w:lineRule="auto"/>
        <w:rPr>
          <w:rFonts w:asciiTheme="majorBidi" w:hAnsiTheme="majorBidi" w:cstheme="majorBidi"/>
          <w:b/>
          <w:bCs/>
          <w:sz w:val="26"/>
          <w:szCs w:val="26"/>
          <w:lang w:val="en-US"/>
        </w:rPr>
      </w:pPr>
    </w:p>
    <w:p w:rsidR="00A10E91" w:rsidRPr="00CE70A6" w:rsidRDefault="00A10E91" w:rsidP="00CE70A6">
      <w:pPr>
        <w:spacing w:line="360" w:lineRule="auto"/>
        <w:rPr>
          <w:rFonts w:asciiTheme="majorBidi" w:hAnsiTheme="majorBidi" w:cstheme="majorBidi"/>
          <w:b/>
          <w:bCs/>
          <w:sz w:val="26"/>
          <w:szCs w:val="26"/>
          <w:lang w:val="en-US"/>
        </w:rPr>
      </w:pPr>
      <w:r w:rsidRPr="00CE70A6">
        <w:rPr>
          <w:rFonts w:asciiTheme="majorBidi" w:hAnsiTheme="majorBidi" w:cstheme="majorBidi"/>
          <w:b/>
          <w:bCs/>
          <w:sz w:val="26"/>
          <w:szCs w:val="26"/>
          <w:lang w:val="en-US"/>
        </w:rPr>
        <w:lastRenderedPageBreak/>
        <w:t>Article in a magazine</w:t>
      </w:r>
    </w:p>
    <w:p w:rsidR="00A10E91" w:rsidRPr="00CE70A6" w:rsidRDefault="00A10E91" w:rsidP="00CE70A6">
      <w:pPr>
        <w:spacing w:line="360" w:lineRule="auto"/>
        <w:rPr>
          <w:rFonts w:asciiTheme="majorBidi" w:hAnsiTheme="majorBidi" w:cstheme="majorBidi"/>
          <w:sz w:val="26"/>
          <w:szCs w:val="26"/>
          <w:u w:val="single"/>
          <w:lang w:val="en-US"/>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US"/>
        </w:rPr>
        <w:t xml:space="preserve">N.             </w:t>
      </w:r>
      <w:r w:rsidRPr="00CE70A6">
        <w:rPr>
          <w:rFonts w:asciiTheme="majorBidi" w:hAnsiTheme="majorBidi" w:cstheme="majorBidi"/>
          <w:sz w:val="26"/>
          <w:szCs w:val="26"/>
          <w:vertAlign w:val="superscript"/>
          <w:lang w:val="en-GB"/>
        </w:rPr>
        <w:t>10</w:t>
      </w:r>
      <w:r w:rsidRPr="00CE70A6">
        <w:rPr>
          <w:rFonts w:asciiTheme="majorBidi" w:hAnsiTheme="majorBidi" w:cstheme="majorBidi"/>
          <w:sz w:val="26"/>
          <w:szCs w:val="26"/>
          <w:lang w:val="en-GB"/>
        </w:rPr>
        <w:t xml:space="preserve"> Barbara W. Tuchman, “If Asia Were Clay in the Hands of the West”, </w:t>
      </w:r>
      <w:r w:rsidRPr="00CE70A6">
        <w:rPr>
          <w:rFonts w:asciiTheme="majorBidi" w:hAnsiTheme="majorBidi" w:cstheme="majorBidi"/>
          <w:i/>
          <w:iCs/>
          <w:sz w:val="26"/>
          <w:szCs w:val="26"/>
          <w:lang w:val="en-GB"/>
        </w:rPr>
        <w:t>Atlantic,</w:t>
      </w:r>
      <w:r w:rsidRPr="00CE70A6">
        <w:rPr>
          <w:rFonts w:asciiTheme="majorBidi" w:hAnsiTheme="majorBidi" w:cstheme="majorBidi"/>
          <w:sz w:val="26"/>
          <w:szCs w:val="26"/>
          <w:lang w:val="en-GB"/>
        </w:rPr>
        <w:t xml:space="preserve"> September 1970, 72.        </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Tuchman, Barbara W. “If Asia Were Clay in the Hands of the West”. </w:t>
      </w:r>
      <w:r w:rsidRPr="00CE70A6">
        <w:rPr>
          <w:rFonts w:asciiTheme="majorBidi" w:hAnsiTheme="majorBidi" w:cstheme="majorBidi"/>
          <w:i/>
          <w:iCs/>
          <w:sz w:val="26"/>
          <w:szCs w:val="26"/>
          <w:lang w:val="en-GB"/>
        </w:rPr>
        <w:t>Atlantic</w:t>
      </w:r>
      <w:r w:rsidRPr="00CE70A6">
        <w:rPr>
          <w:rFonts w:asciiTheme="majorBidi" w:hAnsiTheme="majorBidi" w:cstheme="majorBidi"/>
          <w:sz w:val="26"/>
          <w:szCs w:val="26"/>
          <w:lang w:val="en-GB"/>
        </w:rPr>
        <w:t>, September 1970, 68-84.</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Newspaper article</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sz w:val="26"/>
          <w:szCs w:val="26"/>
          <w:vertAlign w:val="superscript"/>
          <w:lang w:val="en-GB"/>
        </w:rPr>
        <w:t>11</w:t>
      </w:r>
      <w:r w:rsidRPr="00CE70A6">
        <w:rPr>
          <w:rFonts w:asciiTheme="majorBidi" w:hAnsiTheme="majorBidi" w:cstheme="majorBidi"/>
          <w:sz w:val="26"/>
          <w:szCs w:val="26"/>
          <w:lang w:val="en-GB"/>
        </w:rPr>
        <w:t xml:space="preserve"> Sam Dillon, “Education Standards likely to see Toughening,” </w:t>
      </w:r>
      <w:r w:rsidRPr="00CE70A6">
        <w:rPr>
          <w:rFonts w:asciiTheme="majorBidi" w:hAnsiTheme="majorBidi" w:cstheme="majorBidi"/>
          <w:i/>
          <w:iCs/>
          <w:sz w:val="26"/>
          <w:szCs w:val="26"/>
          <w:lang w:val="en-GB"/>
        </w:rPr>
        <w:t>New York Times</w:t>
      </w:r>
      <w:r w:rsidRPr="00CE70A6">
        <w:rPr>
          <w:rFonts w:asciiTheme="majorBidi" w:hAnsiTheme="majorBidi" w:cstheme="majorBidi"/>
          <w:sz w:val="26"/>
          <w:szCs w:val="26"/>
          <w:lang w:val="en-GB"/>
        </w:rPr>
        <w:t>, 14 April 2009, sec. 1A, p.3.</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Dillon, Sam. “Education Standards likely to see Toughening,” </w:t>
      </w:r>
      <w:r w:rsidRPr="00CE70A6">
        <w:rPr>
          <w:rFonts w:asciiTheme="majorBidi" w:hAnsiTheme="majorBidi" w:cstheme="majorBidi"/>
          <w:i/>
          <w:iCs/>
          <w:sz w:val="26"/>
          <w:szCs w:val="26"/>
          <w:lang w:val="en-GB"/>
        </w:rPr>
        <w:t>New York Times</w:t>
      </w:r>
      <w:r w:rsidRPr="00CE70A6">
        <w:rPr>
          <w:rFonts w:asciiTheme="majorBidi" w:hAnsiTheme="majorBidi" w:cstheme="majorBidi"/>
          <w:sz w:val="26"/>
          <w:szCs w:val="26"/>
          <w:lang w:val="en-GB"/>
        </w:rPr>
        <w:t>, 14 April 2009, sec. 1A, p.3.</w:t>
      </w:r>
    </w:p>
    <w:p w:rsidR="00A10E91" w:rsidRPr="00CE70A6" w:rsidRDefault="00A10E91" w:rsidP="00CE70A6">
      <w:pPr>
        <w:spacing w:line="360" w:lineRule="auto"/>
        <w:rPr>
          <w:rFonts w:asciiTheme="majorBidi" w:hAnsiTheme="majorBidi" w:cstheme="majorBidi"/>
          <w:sz w:val="26"/>
          <w:szCs w:val="26"/>
          <w:lang w:val="en-GB"/>
        </w:rPr>
      </w:pP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b/>
          <w:bCs/>
          <w:sz w:val="26"/>
          <w:szCs w:val="26"/>
          <w:lang w:val="en-GB"/>
        </w:rPr>
        <w:t>Encyclopaedias and dictionaries</w:t>
      </w:r>
    </w:p>
    <w:p w:rsidR="00A10E91" w:rsidRPr="00CE70A6" w:rsidRDefault="00A10E91" w:rsidP="00CE70A6">
      <w:pPr>
        <w:pStyle w:val="NormalWeb"/>
        <w:spacing w:line="360" w:lineRule="auto"/>
        <w:jc w:val="both"/>
        <w:rPr>
          <w:rFonts w:asciiTheme="majorBidi" w:hAnsiTheme="majorBidi" w:cstheme="majorBidi"/>
          <w:i/>
          <w:iCs/>
          <w:color w:val="000000"/>
          <w:sz w:val="26"/>
          <w:szCs w:val="26"/>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i/>
          <w:iCs/>
          <w:color w:val="000000"/>
          <w:sz w:val="26"/>
          <w:szCs w:val="26"/>
          <w:vertAlign w:val="superscript"/>
          <w:lang w:val="en-US"/>
        </w:rPr>
        <w:t xml:space="preserve">12 </w:t>
      </w:r>
      <w:r w:rsidRPr="00CE70A6">
        <w:rPr>
          <w:rFonts w:asciiTheme="majorBidi" w:hAnsiTheme="majorBidi" w:cstheme="majorBidi"/>
          <w:i/>
          <w:iCs/>
          <w:color w:val="000000"/>
          <w:sz w:val="26"/>
          <w:szCs w:val="26"/>
          <w:lang w:val="en-US"/>
        </w:rPr>
        <w:t>American Heritage Dictionary</w:t>
      </w:r>
      <w:r w:rsidRPr="00CE70A6">
        <w:rPr>
          <w:rFonts w:asciiTheme="majorBidi" w:hAnsiTheme="majorBidi" w:cstheme="majorBidi"/>
          <w:color w:val="000000"/>
          <w:sz w:val="26"/>
          <w:szCs w:val="26"/>
          <w:lang w:val="en-US"/>
        </w:rPr>
        <w:t xml:space="preserve">, New College Edition, s.v. "copy-edit ." </w:t>
      </w:r>
      <w:r w:rsidRPr="00CE70A6">
        <w:rPr>
          <w:rFonts w:asciiTheme="majorBidi" w:hAnsiTheme="majorBidi" w:cstheme="majorBidi"/>
          <w:color w:val="000000"/>
          <w:sz w:val="26"/>
          <w:szCs w:val="26"/>
          <w:shd w:val="clear" w:color="auto" w:fill="FFFFFF"/>
          <w:lang w:val="en-US"/>
        </w:rPr>
        <w:t>("s.v." stands for the Latin</w:t>
      </w:r>
      <w:r w:rsidRPr="00CE70A6">
        <w:rPr>
          <w:rStyle w:val="apple-converted-space"/>
          <w:rFonts w:asciiTheme="majorBidi" w:hAnsiTheme="majorBidi" w:cstheme="majorBidi"/>
          <w:color w:val="000000"/>
          <w:sz w:val="26"/>
          <w:szCs w:val="26"/>
          <w:shd w:val="clear" w:color="auto" w:fill="FFFFFF"/>
          <w:lang w:val="en-US"/>
        </w:rPr>
        <w:t> </w:t>
      </w:r>
      <w:r w:rsidRPr="00CE70A6">
        <w:rPr>
          <w:rFonts w:asciiTheme="majorBidi" w:hAnsiTheme="majorBidi" w:cstheme="majorBidi"/>
          <w:i/>
          <w:iCs/>
          <w:color w:val="000000"/>
          <w:sz w:val="26"/>
          <w:szCs w:val="26"/>
          <w:shd w:val="clear" w:color="auto" w:fill="FFFFFF"/>
          <w:lang w:val="en-US"/>
        </w:rPr>
        <w:t>sub verbo</w:t>
      </w:r>
      <w:r w:rsidRPr="00CE70A6">
        <w:rPr>
          <w:rFonts w:asciiTheme="majorBidi" w:hAnsiTheme="majorBidi" w:cstheme="majorBidi"/>
          <w:color w:val="000000"/>
          <w:sz w:val="26"/>
          <w:szCs w:val="26"/>
          <w:shd w:val="clear" w:color="auto" w:fill="FFFFFF"/>
          <w:lang w:val="en-US"/>
        </w:rPr>
        <w:t>, "under the word").</w:t>
      </w:r>
    </w:p>
    <w:p w:rsidR="00A10E91" w:rsidRPr="00CE70A6" w:rsidRDefault="00A10E91" w:rsidP="00CE70A6">
      <w:pPr>
        <w:pStyle w:val="NormalWeb"/>
        <w:spacing w:line="360" w:lineRule="auto"/>
        <w:jc w:val="both"/>
        <w:rPr>
          <w:rFonts w:asciiTheme="majorBidi" w:hAnsiTheme="majorBidi" w:cstheme="majorBidi"/>
          <w:color w:val="000000"/>
          <w:sz w:val="26"/>
          <w:szCs w:val="26"/>
          <w:lang w:val="en-US"/>
        </w:rPr>
      </w:pPr>
      <w:r w:rsidRPr="00CE70A6">
        <w:rPr>
          <w:rFonts w:asciiTheme="majorBidi" w:hAnsiTheme="majorBidi" w:cstheme="majorBidi"/>
          <w:color w:val="000000"/>
          <w:sz w:val="26"/>
          <w:szCs w:val="26"/>
          <w:lang w:val="en-US"/>
        </w:rPr>
        <w:t xml:space="preserve">                   </w:t>
      </w:r>
      <w:r w:rsidRPr="00CE70A6">
        <w:rPr>
          <w:rFonts w:asciiTheme="majorBidi" w:hAnsiTheme="majorBidi" w:cstheme="majorBidi"/>
          <w:color w:val="000000"/>
          <w:sz w:val="26"/>
          <w:szCs w:val="26"/>
          <w:vertAlign w:val="superscript"/>
          <w:lang w:val="en-US"/>
        </w:rPr>
        <w:t>13</w:t>
      </w:r>
      <w:r w:rsidRPr="00CE70A6">
        <w:rPr>
          <w:rStyle w:val="apple-converted-space"/>
          <w:rFonts w:asciiTheme="majorBidi" w:hAnsiTheme="majorBidi" w:cstheme="majorBidi"/>
          <w:color w:val="000000"/>
          <w:sz w:val="26"/>
          <w:szCs w:val="26"/>
          <w:lang w:val="en-US"/>
        </w:rPr>
        <w:t> </w:t>
      </w:r>
      <w:r w:rsidRPr="00CE70A6">
        <w:rPr>
          <w:rFonts w:asciiTheme="majorBidi" w:hAnsiTheme="majorBidi" w:cstheme="majorBidi"/>
          <w:i/>
          <w:iCs/>
          <w:color w:val="000000"/>
          <w:sz w:val="26"/>
          <w:szCs w:val="26"/>
          <w:lang w:val="en-US"/>
        </w:rPr>
        <w:t>Encyclopaedia Britannica</w:t>
      </w:r>
      <w:r w:rsidRPr="00CE70A6">
        <w:rPr>
          <w:rFonts w:asciiTheme="majorBidi" w:hAnsiTheme="majorBidi" w:cstheme="majorBidi"/>
          <w:color w:val="000000"/>
          <w:sz w:val="26"/>
          <w:szCs w:val="26"/>
          <w:lang w:val="en-US"/>
        </w:rPr>
        <w:t>, 15th ed., s.v. "Monroe Doctrine."</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w:t>
      </w:r>
      <w:r w:rsidRPr="00CE70A6">
        <w:rPr>
          <w:rFonts w:asciiTheme="majorBidi" w:hAnsiTheme="majorBidi" w:cstheme="majorBidi"/>
          <w:sz w:val="26"/>
          <w:szCs w:val="26"/>
          <w:lang w:val="en-US"/>
        </w:rPr>
        <w:t>Reference works are usually not included in the bibliography.</w:t>
      </w:r>
      <w:r w:rsidRPr="00CE70A6">
        <w:rPr>
          <w:rFonts w:asciiTheme="majorBidi" w:hAnsiTheme="majorBidi" w:cstheme="majorBidi"/>
          <w:sz w:val="26"/>
          <w:szCs w:val="26"/>
          <w:lang w:val="en-GB"/>
        </w:rPr>
        <w:t xml:space="preserve">  When they are used, they are presented as follows:</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Morris-Jones, John. “Wales.” In Encyclopaedia Britannica, 11 th ed.  New York:  Encyclopaedia Britannica Company, 1911. 258-270.    </w:t>
      </w:r>
    </w:p>
    <w:p w:rsidR="00A10E91" w:rsidRPr="00CE70A6" w:rsidRDefault="00A10E91" w:rsidP="00CE70A6">
      <w:pPr>
        <w:spacing w:line="360" w:lineRule="auto"/>
        <w:rPr>
          <w:rFonts w:asciiTheme="majorBidi" w:hAnsiTheme="majorBidi" w:cstheme="majorBidi"/>
          <w:sz w:val="26"/>
          <w:szCs w:val="26"/>
          <w:lang w:val="en-GB"/>
        </w:rPr>
      </w:pPr>
      <w:r w:rsidRPr="00CE70A6">
        <w:rPr>
          <w:rFonts w:asciiTheme="majorBidi" w:hAnsiTheme="majorBidi" w:cstheme="majorBidi"/>
          <w:sz w:val="26"/>
          <w:szCs w:val="26"/>
          <w:lang w:val="en-GB"/>
        </w:rPr>
        <w:t xml:space="preserve">“Charles R. Van Hise.” In </w:t>
      </w:r>
      <w:r w:rsidRPr="00CE70A6">
        <w:rPr>
          <w:rFonts w:asciiTheme="majorBidi" w:hAnsiTheme="majorBidi" w:cstheme="majorBidi"/>
          <w:i/>
          <w:iCs/>
          <w:sz w:val="26"/>
          <w:szCs w:val="26"/>
          <w:lang w:val="en-GB"/>
        </w:rPr>
        <w:t>Wikipedia</w:t>
      </w:r>
      <w:r w:rsidRPr="00CE70A6">
        <w:rPr>
          <w:rFonts w:asciiTheme="majorBidi" w:hAnsiTheme="majorBidi" w:cstheme="majorBidi"/>
          <w:sz w:val="26"/>
          <w:szCs w:val="26"/>
          <w:lang w:val="en-GB"/>
        </w:rPr>
        <w:t xml:space="preserve"> Last modified May 9, 2013. http://en.Wikipedia.org/wiki/Charles_R._Van_Hise.  </w:t>
      </w:r>
    </w:p>
    <w:p w:rsidR="00A10E91" w:rsidRPr="00CE70A6" w:rsidRDefault="00A10E91" w:rsidP="00CE70A6">
      <w:pPr>
        <w:spacing w:line="360" w:lineRule="auto"/>
        <w:rPr>
          <w:rFonts w:asciiTheme="majorBidi" w:hAnsiTheme="majorBidi" w:cstheme="majorBidi"/>
          <w:i/>
          <w:iCs/>
          <w:sz w:val="26"/>
          <w:szCs w:val="26"/>
          <w:lang w:val="en-GB"/>
        </w:rPr>
      </w:pPr>
      <w:r w:rsidRPr="00CE70A6">
        <w:rPr>
          <w:rFonts w:asciiTheme="majorBidi" w:hAnsiTheme="majorBidi" w:cstheme="majorBidi"/>
          <w:sz w:val="26"/>
          <w:szCs w:val="26"/>
          <w:lang w:val="en-GB"/>
        </w:rPr>
        <w:t xml:space="preserve">                </w:t>
      </w:r>
    </w:p>
    <w:p w:rsidR="00A10E91" w:rsidRPr="00CE70A6" w:rsidRDefault="00A10E91" w:rsidP="00CE70A6">
      <w:pPr>
        <w:spacing w:line="360" w:lineRule="auto"/>
        <w:rPr>
          <w:rFonts w:asciiTheme="majorBidi" w:hAnsiTheme="majorBidi" w:cstheme="majorBidi"/>
          <w:b/>
          <w:bCs/>
          <w:sz w:val="26"/>
          <w:szCs w:val="26"/>
          <w:lang w:val="en-US"/>
        </w:rPr>
      </w:pPr>
      <w:r w:rsidRPr="00CE70A6">
        <w:rPr>
          <w:rFonts w:asciiTheme="majorBidi" w:hAnsiTheme="majorBidi" w:cstheme="majorBidi"/>
          <w:b/>
          <w:bCs/>
          <w:sz w:val="26"/>
          <w:szCs w:val="26"/>
          <w:lang w:val="en-US"/>
        </w:rPr>
        <w:t>Performances</w:t>
      </w:r>
    </w:p>
    <w:p w:rsidR="00A10E91" w:rsidRPr="00CE70A6" w:rsidRDefault="00A10E91" w:rsidP="00CE70A6">
      <w:pPr>
        <w:pStyle w:val="NormalWeb"/>
        <w:spacing w:line="360" w:lineRule="auto"/>
        <w:jc w:val="both"/>
        <w:rPr>
          <w:rFonts w:asciiTheme="majorBidi" w:hAnsiTheme="majorBidi" w:cstheme="majorBidi"/>
          <w:i/>
          <w:iCs/>
          <w:color w:val="000000"/>
          <w:sz w:val="26"/>
          <w:szCs w:val="26"/>
          <w:vertAlign w:val="superscript"/>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i/>
          <w:iCs/>
          <w:color w:val="000000"/>
          <w:sz w:val="26"/>
          <w:szCs w:val="26"/>
          <w:vertAlign w:val="superscript"/>
          <w:lang w:val="en-US"/>
        </w:rPr>
        <w:t>13</w:t>
      </w:r>
      <w:r w:rsidRPr="00CE70A6">
        <w:rPr>
          <w:rFonts w:asciiTheme="majorBidi" w:hAnsiTheme="majorBidi" w:cstheme="majorBidi"/>
          <w:sz w:val="26"/>
          <w:szCs w:val="26"/>
          <w:lang w:val="en-GB"/>
        </w:rPr>
        <w:t>William Shakespeare, Othello</w:t>
      </w:r>
    </w:p>
    <w:p w:rsidR="00A10E91" w:rsidRPr="00CE70A6" w:rsidRDefault="00A10E91" w:rsidP="00CE70A6">
      <w:pPr>
        <w:spacing w:line="360" w:lineRule="auto"/>
        <w:rPr>
          <w:rFonts w:asciiTheme="majorBidi" w:hAnsiTheme="majorBidi" w:cstheme="majorBidi"/>
          <w:b/>
          <w:bCs/>
          <w:sz w:val="26"/>
          <w:szCs w:val="26"/>
          <w:lang w:val="en-GB"/>
        </w:rPr>
      </w:pPr>
      <w:r w:rsidRPr="00CE70A6">
        <w:rPr>
          <w:rFonts w:asciiTheme="majorBidi" w:hAnsiTheme="majorBidi" w:cstheme="majorBidi"/>
          <w:sz w:val="26"/>
          <w:szCs w:val="26"/>
          <w:lang w:val="en-GB"/>
        </w:rPr>
        <w:t xml:space="preserve">B.  </w:t>
      </w:r>
    </w:p>
    <w:p w:rsidR="00F55E4B" w:rsidRDefault="00F55E4B" w:rsidP="00CE70A6">
      <w:pPr>
        <w:spacing w:line="360" w:lineRule="auto"/>
        <w:rPr>
          <w:rFonts w:asciiTheme="majorBidi" w:hAnsiTheme="majorBidi" w:cstheme="majorBidi"/>
          <w:b/>
          <w:bCs/>
          <w:sz w:val="26"/>
          <w:szCs w:val="26"/>
          <w:lang w:val="en-US"/>
        </w:rPr>
      </w:pPr>
    </w:p>
    <w:p w:rsidR="00A10E91" w:rsidRPr="00CE70A6" w:rsidRDefault="00A10E91" w:rsidP="00CE70A6">
      <w:pPr>
        <w:spacing w:line="360" w:lineRule="auto"/>
        <w:rPr>
          <w:rFonts w:asciiTheme="majorBidi" w:hAnsiTheme="majorBidi" w:cstheme="majorBidi"/>
          <w:b/>
          <w:bCs/>
          <w:sz w:val="26"/>
          <w:szCs w:val="26"/>
          <w:lang w:val="en-US"/>
        </w:rPr>
      </w:pPr>
      <w:r w:rsidRPr="00CE70A6">
        <w:rPr>
          <w:rFonts w:asciiTheme="majorBidi" w:hAnsiTheme="majorBidi" w:cstheme="majorBidi"/>
          <w:b/>
          <w:bCs/>
          <w:sz w:val="26"/>
          <w:szCs w:val="26"/>
          <w:lang w:val="en-US"/>
        </w:rPr>
        <w:lastRenderedPageBreak/>
        <w:t>Unpublished material</w:t>
      </w:r>
    </w:p>
    <w:p w:rsidR="00A10E91" w:rsidRPr="00CE70A6" w:rsidRDefault="00A10E91" w:rsidP="00CE70A6">
      <w:pPr>
        <w:pStyle w:val="NormalWeb"/>
        <w:spacing w:line="360" w:lineRule="auto"/>
        <w:jc w:val="both"/>
        <w:rPr>
          <w:rFonts w:asciiTheme="majorBidi" w:hAnsiTheme="majorBidi" w:cstheme="majorBidi"/>
          <w:i/>
          <w:iCs/>
          <w:color w:val="000000"/>
          <w:sz w:val="26"/>
          <w:szCs w:val="26"/>
          <w:vertAlign w:val="superscript"/>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i/>
          <w:iCs/>
          <w:color w:val="000000"/>
          <w:sz w:val="26"/>
          <w:szCs w:val="26"/>
          <w:vertAlign w:val="superscript"/>
          <w:lang w:val="en-US"/>
        </w:rPr>
        <w:t xml:space="preserve">14 </w:t>
      </w:r>
      <w:r w:rsidRPr="00CE70A6">
        <w:rPr>
          <w:rFonts w:asciiTheme="majorBidi" w:hAnsiTheme="majorBidi" w:cstheme="majorBidi"/>
          <w:sz w:val="26"/>
          <w:szCs w:val="26"/>
          <w:lang w:val="en-GB"/>
        </w:rPr>
        <w:t>Faiza F. Meberbeche, “Pan Africanism and its Impact on the Sierra Leonean Elite up to 1945” (Ph.D.diss., University of Tlemcen, 2010), 35.</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sz w:val="26"/>
          <w:szCs w:val="26"/>
          <w:lang w:val="en-GB"/>
        </w:rPr>
        <w:t>B. Meberbeche, Faiza F. “Pan Africanism and its Impact on the Sierra Leonean Elite up to 1945.” Ph.D.diss., University of Tlemcen, 2010.</w:t>
      </w:r>
    </w:p>
    <w:p w:rsidR="00A10E91" w:rsidRPr="00CE70A6" w:rsidRDefault="00A10E91" w:rsidP="00CE70A6">
      <w:pPr>
        <w:pStyle w:val="NormalWeb"/>
        <w:spacing w:line="360" w:lineRule="auto"/>
        <w:jc w:val="both"/>
        <w:rPr>
          <w:rFonts w:asciiTheme="majorBidi" w:hAnsiTheme="majorBidi" w:cstheme="majorBidi"/>
          <w:b/>
          <w:bCs/>
          <w:sz w:val="26"/>
          <w:szCs w:val="26"/>
          <w:lang w:val="en-GB"/>
        </w:rPr>
      </w:pPr>
      <w:r w:rsidRPr="00CE70A6">
        <w:rPr>
          <w:rFonts w:asciiTheme="majorBidi" w:hAnsiTheme="majorBidi" w:cstheme="majorBidi"/>
          <w:b/>
          <w:bCs/>
          <w:sz w:val="26"/>
          <w:szCs w:val="26"/>
          <w:lang w:val="en-GB"/>
        </w:rPr>
        <w:t>Class lecture</w:t>
      </w:r>
    </w:p>
    <w:p w:rsidR="00A10E91" w:rsidRPr="00CE70A6" w:rsidRDefault="00A10E91" w:rsidP="00CE70A6">
      <w:pPr>
        <w:pStyle w:val="NormalWeb"/>
        <w:spacing w:line="360" w:lineRule="auto"/>
        <w:jc w:val="both"/>
        <w:rPr>
          <w:rFonts w:asciiTheme="majorBidi" w:hAnsiTheme="majorBidi" w:cstheme="majorBidi"/>
          <w:i/>
          <w:iCs/>
          <w:color w:val="000000"/>
          <w:sz w:val="26"/>
          <w:szCs w:val="26"/>
          <w:vertAlign w:val="superscript"/>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i/>
          <w:iCs/>
          <w:color w:val="000000"/>
          <w:sz w:val="26"/>
          <w:szCs w:val="26"/>
          <w:vertAlign w:val="superscript"/>
          <w:lang w:val="en-US"/>
        </w:rPr>
        <w:t>15</w:t>
      </w:r>
      <w:r w:rsidRPr="00CE70A6">
        <w:rPr>
          <w:rFonts w:asciiTheme="majorBidi" w:hAnsiTheme="majorBidi" w:cstheme="majorBidi"/>
          <w:sz w:val="26"/>
          <w:szCs w:val="26"/>
          <w:lang w:val="en-GB"/>
        </w:rPr>
        <w:t xml:space="preserve"> Edward Green, “What is African American? What is African American Literature?” (lecture, Survey of African American Literature, University of Leicester, March 12, 2014).</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Green, Edward. “What is African American? What is African American Literature?” Lecture for Survey of African American Literature, University of Leicester, March 12, 2014. </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sz w:val="26"/>
          <w:szCs w:val="26"/>
          <w:lang w:val="en-GB"/>
        </w:rPr>
        <w:t>[An unpublished lecture is usually cited in a note, but rarely in the bibliography].</w:t>
      </w:r>
    </w:p>
    <w:p w:rsidR="00A10E91" w:rsidRPr="00CE70A6" w:rsidRDefault="00A10E91" w:rsidP="00CE70A6">
      <w:pPr>
        <w:pStyle w:val="NormalWeb"/>
        <w:spacing w:line="360" w:lineRule="auto"/>
        <w:jc w:val="both"/>
        <w:rPr>
          <w:rFonts w:asciiTheme="majorBidi" w:hAnsiTheme="majorBidi" w:cstheme="majorBidi"/>
          <w:b/>
          <w:bCs/>
          <w:sz w:val="26"/>
          <w:szCs w:val="26"/>
          <w:lang w:val="en-GB"/>
        </w:rPr>
      </w:pPr>
      <w:r w:rsidRPr="00CE70A6">
        <w:rPr>
          <w:rFonts w:asciiTheme="majorBidi" w:hAnsiTheme="majorBidi" w:cstheme="majorBidi"/>
          <w:b/>
          <w:bCs/>
          <w:sz w:val="26"/>
          <w:szCs w:val="26"/>
          <w:lang w:val="en-GB"/>
        </w:rPr>
        <w:t>Conference Presentation</w:t>
      </w:r>
    </w:p>
    <w:p w:rsidR="00A10E91" w:rsidRPr="00CE70A6" w:rsidRDefault="00A10E91" w:rsidP="00CE70A6">
      <w:pPr>
        <w:pStyle w:val="NormalWeb"/>
        <w:spacing w:line="360" w:lineRule="auto"/>
        <w:jc w:val="both"/>
        <w:rPr>
          <w:rFonts w:asciiTheme="majorBidi" w:hAnsiTheme="majorBidi" w:cstheme="majorBidi"/>
          <w:sz w:val="26"/>
          <w:szCs w:val="26"/>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i/>
          <w:iCs/>
          <w:color w:val="000000"/>
          <w:sz w:val="26"/>
          <w:szCs w:val="26"/>
          <w:vertAlign w:val="superscript"/>
          <w:lang w:val="en-US"/>
        </w:rPr>
        <w:t>15</w:t>
      </w:r>
      <w:r w:rsidRPr="00CE70A6">
        <w:rPr>
          <w:rFonts w:asciiTheme="majorBidi" w:hAnsiTheme="majorBidi" w:cstheme="majorBidi"/>
          <w:sz w:val="26"/>
          <w:szCs w:val="26"/>
          <w:lang w:val="en-GB"/>
        </w:rPr>
        <w:t xml:space="preserve"> Faiza Meberbeche, “Gender Inequalities in Colonial Algeria: the Case of the Algerian Women in the Struggle for Independence between Exclusion and Participation </w:t>
      </w:r>
      <w:r w:rsidRPr="00CE70A6">
        <w:rPr>
          <w:rFonts w:asciiTheme="majorBidi" w:hAnsiTheme="majorBidi" w:cstheme="majorBidi"/>
          <w:i/>
          <w:iCs/>
          <w:sz w:val="26"/>
          <w:szCs w:val="26"/>
          <w:lang w:val="en-US"/>
        </w:rPr>
        <w:t>1954-1962</w:t>
      </w:r>
      <w:r w:rsidRPr="00CE70A6">
        <w:rPr>
          <w:rFonts w:asciiTheme="majorBidi" w:hAnsiTheme="majorBidi" w:cstheme="majorBidi"/>
          <w:sz w:val="26"/>
          <w:szCs w:val="26"/>
          <w:lang w:val="en-US"/>
        </w:rPr>
        <w:t>” (paper presented at the SOAS Biennial Conference, London, May 12, 2015).</w:t>
      </w:r>
    </w:p>
    <w:p w:rsidR="00A10E91" w:rsidRPr="00CE70A6" w:rsidRDefault="00A10E91" w:rsidP="00CE70A6">
      <w:pPr>
        <w:pStyle w:val="NormalWeb"/>
        <w:spacing w:line="360" w:lineRule="auto"/>
        <w:jc w:val="both"/>
        <w:rPr>
          <w:rFonts w:asciiTheme="majorBidi" w:hAnsiTheme="majorBidi" w:cstheme="majorBidi"/>
          <w:sz w:val="26"/>
          <w:szCs w:val="26"/>
          <w:lang w:val="en-US"/>
        </w:rPr>
      </w:pPr>
      <w:r w:rsidRPr="00CE70A6">
        <w:rPr>
          <w:rFonts w:asciiTheme="majorBidi" w:hAnsiTheme="majorBidi" w:cstheme="majorBidi"/>
          <w:sz w:val="26"/>
          <w:szCs w:val="26"/>
          <w:lang w:val="en-GB"/>
        </w:rPr>
        <w:t xml:space="preserve">B.                 Meberbeche, Faiza. “Gender Inequalities in Colonial Algeria: the Case of the Algerian Women in the Struggle for Independence between Exclusion and Participation </w:t>
      </w:r>
      <w:r w:rsidRPr="00CE70A6">
        <w:rPr>
          <w:rFonts w:asciiTheme="majorBidi" w:hAnsiTheme="majorBidi" w:cstheme="majorBidi"/>
          <w:i/>
          <w:iCs/>
          <w:sz w:val="26"/>
          <w:szCs w:val="26"/>
          <w:lang w:val="en-US"/>
        </w:rPr>
        <w:t>1954-1962.</w:t>
      </w:r>
      <w:r w:rsidRPr="00CE70A6">
        <w:rPr>
          <w:rFonts w:asciiTheme="majorBidi" w:hAnsiTheme="majorBidi" w:cstheme="majorBidi"/>
          <w:sz w:val="26"/>
          <w:szCs w:val="26"/>
          <w:lang w:val="en-US"/>
        </w:rPr>
        <w:t>” Paper presented at the SOAS Biennial Conference, London, May 12, 2015.</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sz w:val="26"/>
          <w:szCs w:val="26"/>
          <w:lang w:val="en-GB"/>
        </w:rPr>
        <w:t>[An unpublished conference presentation is usually cited in a note, but rarely in the bibliography].</w:t>
      </w:r>
    </w:p>
    <w:p w:rsidR="00A10E91" w:rsidRPr="00CE70A6" w:rsidRDefault="00A10E91" w:rsidP="00CE70A6">
      <w:pPr>
        <w:pStyle w:val="NormalWeb"/>
        <w:spacing w:line="360" w:lineRule="auto"/>
        <w:jc w:val="both"/>
        <w:rPr>
          <w:rFonts w:asciiTheme="majorBidi" w:hAnsiTheme="majorBidi" w:cstheme="majorBidi"/>
          <w:sz w:val="26"/>
          <w:szCs w:val="26"/>
          <w:lang w:val="en-GB"/>
        </w:rPr>
      </w:pPr>
    </w:p>
    <w:p w:rsidR="00A10E91" w:rsidRPr="00CE70A6" w:rsidRDefault="00A10E91" w:rsidP="00CE70A6">
      <w:pPr>
        <w:pStyle w:val="NormalWeb"/>
        <w:spacing w:line="360" w:lineRule="auto"/>
        <w:rPr>
          <w:rStyle w:val="apple-converted-space"/>
          <w:rFonts w:asciiTheme="majorBidi" w:hAnsiTheme="majorBidi" w:cstheme="majorBidi"/>
          <w:b/>
          <w:bCs/>
          <w:color w:val="000000"/>
          <w:sz w:val="26"/>
          <w:szCs w:val="26"/>
          <w:lang w:val="en-US"/>
        </w:rPr>
      </w:pPr>
      <w:r w:rsidRPr="00CE70A6">
        <w:rPr>
          <w:rFonts w:asciiTheme="majorBidi" w:hAnsiTheme="majorBidi" w:cstheme="majorBidi"/>
          <w:b/>
          <w:bCs/>
          <w:color w:val="000000"/>
          <w:sz w:val="26"/>
          <w:szCs w:val="26"/>
          <w:lang w:val="en-US"/>
        </w:rPr>
        <w:t>Government document</w:t>
      </w:r>
      <w:r w:rsidRPr="00CE70A6">
        <w:rPr>
          <w:rStyle w:val="apple-converted-space"/>
          <w:rFonts w:asciiTheme="majorBidi" w:hAnsiTheme="majorBidi" w:cstheme="majorBidi"/>
          <w:b/>
          <w:bCs/>
          <w:color w:val="000000"/>
          <w:sz w:val="26"/>
          <w:szCs w:val="26"/>
          <w:lang w:val="en-US"/>
        </w:rPr>
        <w:t> </w:t>
      </w:r>
    </w:p>
    <w:p w:rsidR="00A10E91" w:rsidRPr="00CE70A6" w:rsidRDefault="00A10E91" w:rsidP="00CE70A6">
      <w:pPr>
        <w:pStyle w:val="NormalWeb"/>
        <w:spacing w:line="360" w:lineRule="auto"/>
        <w:rPr>
          <w:rFonts w:asciiTheme="majorBidi" w:hAnsiTheme="majorBidi" w:cstheme="majorBidi"/>
          <w:color w:val="000000"/>
          <w:sz w:val="26"/>
          <w:szCs w:val="26"/>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i/>
          <w:iCs/>
          <w:color w:val="000000"/>
          <w:sz w:val="26"/>
          <w:szCs w:val="26"/>
          <w:vertAlign w:val="superscript"/>
          <w:lang w:val="en-US"/>
        </w:rPr>
        <w:t xml:space="preserve">16 </w:t>
      </w:r>
      <w:r w:rsidRPr="00CE70A6">
        <w:rPr>
          <w:rStyle w:val="Accentuation"/>
          <w:rFonts w:asciiTheme="majorBidi" w:hAnsiTheme="majorBidi" w:cstheme="majorBidi"/>
          <w:color w:val="333333"/>
          <w:sz w:val="26"/>
          <w:szCs w:val="26"/>
          <w:lang w:val="en-US"/>
        </w:rPr>
        <w:t>Congressional Record</w:t>
      </w:r>
      <w:r w:rsidRPr="00CE70A6">
        <w:rPr>
          <w:rFonts w:asciiTheme="majorBidi" w:hAnsiTheme="majorBidi" w:cstheme="majorBidi"/>
          <w:color w:val="333333"/>
          <w:sz w:val="26"/>
          <w:szCs w:val="26"/>
          <w:lang w:val="en-US"/>
        </w:rPr>
        <w:t>, 71st Cong., 2nd sess., 1930, 72, pt. 10:10828:30.</w:t>
      </w:r>
    </w:p>
    <w:p w:rsidR="00A10E91" w:rsidRPr="00CE70A6" w:rsidRDefault="00A10E91" w:rsidP="00CE70A6">
      <w:pPr>
        <w:pStyle w:val="NormalWeb"/>
        <w:spacing w:line="360" w:lineRule="auto"/>
        <w:rPr>
          <w:rFonts w:asciiTheme="majorBidi" w:hAnsiTheme="majorBidi" w:cstheme="majorBidi"/>
          <w:color w:val="333333"/>
          <w:sz w:val="26"/>
          <w:szCs w:val="26"/>
          <w:lang w:val="en-US"/>
        </w:rPr>
      </w:pPr>
      <w:r w:rsidRPr="00CE70A6">
        <w:rPr>
          <w:rFonts w:asciiTheme="majorBidi" w:hAnsiTheme="majorBidi" w:cstheme="majorBidi"/>
          <w:sz w:val="26"/>
          <w:szCs w:val="26"/>
          <w:lang w:val="en-GB"/>
        </w:rPr>
        <w:t xml:space="preserve">B.               </w:t>
      </w:r>
      <w:r w:rsidRPr="00CE70A6">
        <w:rPr>
          <w:rStyle w:val="Accentuation"/>
          <w:rFonts w:asciiTheme="majorBidi" w:hAnsiTheme="majorBidi" w:cstheme="majorBidi"/>
          <w:color w:val="333333"/>
          <w:sz w:val="26"/>
          <w:szCs w:val="26"/>
          <w:lang w:val="en-US"/>
        </w:rPr>
        <w:t xml:space="preserve"> Congressional Record</w:t>
      </w:r>
      <w:r w:rsidRPr="00CE70A6">
        <w:rPr>
          <w:rFonts w:asciiTheme="majorBidi" w:hAnsiTheme="majorBidi" w:cstheme="majorBidi"/>
          <w:color w:val="333333"/>
          <w:sz w:val="26"/>
          <w:szCs w:val="26"/>
          <w:lang w:val="en-US"/>
        </w:rPr>
        <w:t>. 71st Cong., 2nd sess., 1930, vol. 72 pt. 10.</w:t>
      </w:r>
    </w:p>
    <w:p w:rsidR="00A10E91" w:rsidRPr="00CE70A6" w:rsidRDefault="00A10E91" w:rsidP="00CE70A6">
      <w:pPr>
        <w:pStyle w:val="NormalWeb"/>
        <w:spacing w:line="360" w:lineRule="auto"/>
        <w:rPr>
          <w:rFonts w:asciiTheme="majorBidi" w:hAnsiTheme="majorBidi" w:cstheme="majorBidi"/>
          <w:b/>
          <w:bCs/>
          <w:color w:val="333333"/>
          <w:sz w:val="26"/>
          <w:szCs w:val="26"/>
          <w:lang w:val="en-US"/>
        </w:rPr>
      </w:pPr>
      <w:r w:rsidRPr="00CE70A6">
        <w:rPr>
          <w:rFonts w:asciiTheme="majorBidi" w:hAnsiTheme="majorBidi" w:cstheme="majorBidi"/>
          <w:b/>
          <w:bCs/>
          <w:color w:val="333333"/>
          <w:sz w:val="26"/>
          <w:szCs w:val="26"/>
          <w:lang w:val="en-US"/>
        </w:rPr>
        <w:t>Online sources</w:t>
      </w:r>
    </w:p>
    <w:p w:rsidR="00A10E91" w:rsidRPr="00CE70A6" w:rsidRDefault="00A10E91" w:rsidP="00CE70A6">
      <w:pPr>
        <w:pStyle w:val="NormalWeb"/>
        <w:spacing w:line="360" w:lineRule="auto"/>
        <w:rPr>
          <w:rFonts w:asciiTheme="majorBidi" w:hAnsiTheme="majorBidi" w:cstheme="majorBidi"/>
          <w:b/>
          <w:bCs/>
          <w:color w:val="333333"/>
          <w:sz w:val="26"/>
          <w:szCs w:val="26"/>
          <w:lang w:val="en-US"/>
        </w:rPr>
      </w:pPr>
      <w:r w:rsidRPr="00CE70A6">
        <w:rPr>
          <w:rFonts w:asciiTheme="majorBidi" w:hAnsiTheme="majorBidi" w:cstheme="majorBidi"/>
          <w:b/>
          <w:bCs/>
          <w:color w:val="333333"/>
          <w:sz w:val="26"/>
          <w:szCs w:val="26"/>
          <w:lang w:val="en-US"/>
        </w:rPr>
        <w:t>Online source that is identical to a print source</w:t>
      </w:r>
    </w:p>
    <w:p w:rsidR="00A10E91" w:rsidRPr="00CE70A6" w:rsidRDefault="00A10E91" w:rsidP="00CE70A6">
      <w:pPr>
        <w:pStyle w:val="NormalWeb"/>
        <w:spacing w:line="360" w:lineRule="auto"/>
        <w:jc w:val="both"/>
        <w:rPr>
          <w:rFonts w:asciiTheme="majorBidi" w:hAnsiTheme="majorBidi" w:cstheme="majorBidi"/>
          <w:b/>
          <w:bCs/>
          <w:color w:val="333333"/>
          <w:sz w:val="26"/>
          <w:szCs w:val="26"/>
          <w:lang w:val="en-US"/>
        </w:rPr>
      </w:pPr>
      <w:r w:rsidRPr="00CE70A6">
        <w:rPr>
          <w:rFonts w:asciiTheme="majorBidi" w:hAnsiTheme="majorBidi" w:cstheme="majorBidi"/>
          <w:sz w:val="26"/>
          <w:szCs w:val="26"/>
          <w:lang w:val="en-GB"/>
        </w:rPr>
        <w:t xml:space="preserve">N.            </w:t>
      </w:r>
      <w:r w:rsidRPr="00CE70A6">
        <w:rPr>
          <w:rFonts w:asciiTheme="majorBidi" w:hAnsiTheme="majorBidi" w:cstheme="majorBidi"/>
          <w:color w:val="000000"/>
          <w:sz w:val="26"/>
          <w:szCs w:val="26"/>
          <w:vertAlign w:val="superscript"/>
          <w:lang w:val="en-US"/>
        </w:rPr>
        <w:t>17</w:t>
      </w:r>
      <w:r w:rsidRPr="00CE70A6">
        <w:rPr>
          <w:rFonts w:asciiTheme="majorBidi" w:hAnsiTheme="majorBidi" w:cstheme="majorBidi"/>
          <w:sz w:val="26"/>
          <w:szCs w:val="26"/>
          <w:lang w:val="en-GB"/>
        </w:rPr>
        <w:t xml:space="preserve">       Yekutiel </w:t>
      </w:r>
      <w:r w:rsidRPr="00CE70A6">
        <w:rPr>
          <w:rFonts w:asciiTheme="majorBidi" w:hAnsiTheme="majorBidi" w:cstheme="majorBidi"/>
          <w:color w:val="333333"/>
          <w:sz w:val="26"/>
          <w:szCs w:val="26"/>
          <w:lang w:val="en-US"/>
        </w:rPr>
        <w:t>Gershoni   "Common Goals, Different Ways: the U.N.I.A. and the N.C.B.W.A. in West Africa 1920-1030",</w:t>
      </w:r>
      <w:r w:rsidRPr="00CE70A6">
        <w:rPr>
          <w:rStyle w:val="apple-converted-space"/>
          <w:rFonts w:asciiTheme="majorBidi" w:hAnsiTheme="majorBidi" w:cstheme="majorBidi"/>
          <w:color w:val="333333"/>
          <w:sz w:val="26"/>
          <w:szCs w:val="26"/>
          <w:lang w:val="en-US"/>
        </w:rPr>
        <w:t> </w:t>
      </w:r>
      <w:r w:rsidRPr="00CE70A6">
        <w:rPr>
          <w:rStyle w:val="Accentuation"/>
          <w:rFonts w:asciiTheme="majorBidi" w:hAnsiTheme="majorBidi" w:cstheme="majorBidi"/>
          <w:color w:val="333333"/>
          <w:sz w:val="26"/>
          <w:szCs w:val="26"/>
          <w:lang w:val="en-US"/>
        </w:rPr>
        <w:t>Journal of Third World Studies</w:t>
      </w:r>
      <w:r w:rsidRPr="00CE70A6">
        <w:rPr>
          <w:rStyle w:val="apple-converted-space"/>
          <w:rFonts w:asciiTheme="majorBidi" w:hAnsiTheme="majorBidi" w:cstheme="majorBidi"/>
          <w:color w:val="333333"/>
          <w:sz w:val="26"/>
          <w:szCs w:val="26"/>
          <w:lang w:val="en-US"/>
        </w:rPr>
        <w:t> </w:t>
      </w:r>
      <w:r w:rsidRPr="00CE70A6">
        <w:rPr>
          <w:rFonts w:asciiTheme="majorBidi" w:hAnsiTheme="majorBidi" w:cstheme="majorBidi"/>
          <w:color w:val="333333"/>
          <w:sz w:val="26"/>
          <w:szCs w:val="26"/>
          <w:lang w:val="en-US"/>
        </w:rPr>
        <w:t>17 (2001): 111-12, doi: 10.1163/157006598X00135.</w:t>
      </w:r>
    </w:p>
    <w:p w:rsidR="00A10E91" w:rsidRPr="00CE70A6" w:rsidRDefault="00A10E91" w:rsidP="00CE70A6">
      <w:pPr>
        <w:pStyle w:val="NormalWeb"/>
        <w:spacing w:line="360" w:lineRule="auto"/>
        <w:jc w:val="both"/>
        <w:rPr>
          <w:rFonts w:asciiTheme="majorBidi" w:hAnsiTheme="majorBidi" w:cstheme="majorBidi"/>
          <w:color w:val="333333"/>
          <w:sz w:val="26"/>
          <w:szCs w:val="26"/>
          <w:lang w:val="en-US"/>
        </w:rPr>
      </w:pPr>
      <w:r w:rsidRPr="00CE70A6">
        <w:rPr>
          <w:rFonts w:asciiTheme="majorBidi" w:hAnsiTheme="majorBidi" w:cstheme="majorBidi"/>
          <w:sz w:val="26"/>
          <w:szCs w:val="26"/>
          <w:lang w:val="en-GB"/>
        </w:rPr>
        <w:t xml:space="preserve">B.                       </w:t>
      </w:r>
      <w:r w:rsidRPr="00CE70A6">
        <w:rPr>
          <w:rFonts w:asciiTheme="majorBidi" w:hAnsiTheme="majorBidi" w:cstheme="majorBidi"/>
          <w:color w:val="333333"/>
          <w:sz w:val="26"/>
          <w:szCs w:val="26"/>
          <w:lang w:val="en-US"/>
        </w:rPr>
        <w:t xml:space="preserve">Gershoni, </w:t>
      </w:r>
      <w:r w:rsidRPr="00CE70A6">
        <w:rPr>
          <w:rFonts w:asciiTheme="majorBidi" w:hAnsiTheme="majorBidi" w:cstheme="majorBidi"/>
          <w:sz w:val="26"/>
          <w:szCs w:val="26"/>
          <w:lang w:val="en-GB"/>
        </w:rPr>
        <w:t>Yekutiel.</w:t>
      </w:r>
      <w:r w:rsidRPr="00CE70A6">
        <w:rPr>
          <w:rFonts w:asciiTheme="majorBidi" w:hAnsiTheme="majorBidi" w:cstheme="majorBidi"/>
          <w:color w:val="333333"/>
          <w:sz w:val="26"/>
          <w:szCs w:val="26"/>
          <w:lang w:val="en-US"/>
        </w:rPr>
        <w:t xml:space="preserve">   "Common Goals, Different Ways: the U.N.I.A. and the N.C.B.W.A. in West Africa 1920-1030."</w:t>
      </w:r>
      <w:r w:rsidRPr="00CE70A6">
        <w:rPr>
          <w:rStyle w:val="apple-converted-space"/>
          <w:rFonts w:asciiTheme="majorBidi" w:hAnsiTheme="majorBidi" w:cstheme="majorBidi"/>
          <w:color w:val="333333"/>
          <w:sz w:val="26"/>
          <w:szCs w:val="26"/>
          <w:lang w:val="en-US"/>
        </w:rPr>
        <w:t> </w:t>
      </w:r>
      <w:r w:rsidRPr="00CE70A6">
        <w:rPr>
          <w:rStyle w:val="Accentuation"/>
          <w:rFonts w:asciiTheme="majorBidi" w:hAnsiTheme="majorBidi" w:cstheme="majorBidi"/>
          <w:color w:val="333333"/>
          <w:sz w:val="26"/>
          <w:szCs w:val="26"/>
          <w:lang w:val="en-US"/>
        </w:rPr>
        <w:t>Journal of Third World Studies</w:t>
      </w:r>
      <w:r w:rsidRPr="00CE70A6">
        <w:rPr>
          <w:rStyle w:val="apple-converted-space"/>
          <w:rFonts w:asciiTheme="majorBidi" w:hAnsiTheme="majorBidi" w:cstheme="majorBidi"/>
          <w:color w:val="333333"/>
          <w:sz w:val="26"/>
          <w:szCs w:val="26"/>
          <w:lang w:val="en-US"/>
        </w:rPr>
        <w:t> </w:t>
      </w:r>
      <w:r w:rsidRPr="00CE70A6">
        <w:rPr>
          <w:rFonts w:asciiTheme="majorBidi" w:hAnsiTheme="majorBidi" w:cstheme="majorBidi"/>
          <w:color w:val="333333"/>
          <w:sz w:val="26"/>
          <w:szCs w:val="26"/>
          <w:lang w:val="en-US"/>
        </w:rPr>
        <w:t>17 (2001): 102-25, doi: 10.1163/157006598X00135.</w:t>
      </w:r>
    </w:p>
    <w:p w:rsidR="00A10E91" w:rsidRPr="00CE70A6" w:rsidRDefault="00A10E91" w:rsidP="00CE70A6">
      <w:pPr>
        <w:pStyle w:val="NormalWeb"/>
        <w:spacing w:line="360" w:lineRule="auto"/>
        <w:jc w:val="both"/>
        <w:rPr>
          <w:rFonts w:asciiTheme="majorBidi" w:hAnsiTheme="majorBidi" w:cstheme="majorBidi"/>
          <w:color w:val="333333"/>
          <w:sz w:val="26"/>
          <w:szCs w:val="26"/>
          <w:lang w:val="en-US"/>
        </w:rPr>
      </w:pPr>
      <w:r w:rsidRPr="00CE70A6">
        <w:rPr>
          <w:rFonts w:asciiTheme="majorBidi" w:hAnsiTheme="majorBidi" w:cstheme="majorBidi"/>
          <w:color w:val="333333"/>
          <w:sz w:val="26"/>
          <w:szCs w:val="26"/>
          <w:lang w:val="en-US"/>
        </w:rPr>
        <w:t>[Chicago and Turbian styles recommend the use of DOI (digital object identifier) or URL to specify the source being consulted online. In the absence of a DOI, it is recommended to use an URL together with “</w:t>
      </w:r>
      <w:hyperlink w:history="1">
        <w:r w:rsidRPr="00CE70A6">
          <w:rPr>
            <w:rStyle w:val="Lienhypertexte"/>
            <w:rFonts w:asciiTheme="majorBidi" w:hAnsiTheme="majorBidi" w:cstheme="majorBidi"/>
            <w:sz w:val="26"/>
            <w:szCs w:val="26"/>
            <w:lang w:val="en-US"/>
          </w:rPr>
          <w:t>http://</w:t>
        </w:r>
      </w:hyperlink>
      <w:r w:rsidRPr="00CE70A6">
        <w:rPr>
          <w:rFonts w:asciiTheme="majorBidi" w:hAnsiTheme="majorBidi" w:cstheme="majorBidi"/>
          <w:color w:val="333333"/>
          <w:sz w:val="26"/>
          <w:szCs w:val="26"/>
          <w:lang w:val="en-US"/>
        </w:rPr>
        <w:t>”. If the online source has a publication or revision date there will, hence, be no need to use an access date].</w:t>
      </w:r>
    </w:p>
    <w:p w:rsidR="00A10E91" w:rsidRPr="00CE70A6" w:rsidRDefault="00A10E91" w:rsidP="00CE70A6">
      <w:pPr>
        <w:pStyle w:val="NormalWeb"/>
        <w:spacing w:line="360" w:lineRule="auto"/>
        <w:jc w:val="both"/>
        <w:rPr>
          <w:rFonts w:asciiTheme="majorBidi" w:hAnsiTheme="majorBidi" w:cstheme="majorBidi"/>
          <w:color w:val="333333"/>
          <w:sz w:val="26"/>
          <w:szCs w:val="26"/>
          <w:lang w:val="en-US"/>
        </w:rPr>
      </w:pPr>
      <w:r w:rsidRPr="00CE70A6">
        <w:rPr>
          <w:rFonts w:asciiTheme="majorBidi" w:hAnsiTheme="majorBidi" w:cstheme="majorBidi"/>
          <w:b/>
          <w:bCs/>
          <w:color w:val="333333"/>
          <w:sz w:val="26"/>
          <w:szCs w:val="26"/>
          <w:lang w:val="en-US"/>
        </w:rPr>
        <w:t>Online newspaper</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sz w:val="26"/>
          <w:szCs w:val="26"/>
          <w:lang w:val="en-GB"/>
        </w:rPr>
        <w:t xml:space="preserve">N.            </w:t>
      </w:r>
      <w:r w:rsidRPr="00CE70A6">
        <w:rPr>
          <w:rFonts w:asciiTheme="majorBidi" w:hAnsiTheme="majorBidi" w:cstheme="majorBidi"/>
          <w:color w:val="000000"/>
          <w:sz w:val="26"/>
          <w:szCs w:val="26"/>
          <w:vertAlign w:val="superscript"/>
          <w:lang w:val="en-US"/>
        </w:rPr>
        <w:t>18</w:t>
      </w:r>
      <w:r w:rsidRPr="00CE70A6">
        <w:rPr>
          <w:rFonts w:asciiTheme="majorBidi" w:hAnsiTheme="majorBidi" w:cstheme="majorBidi"/>
          <w:sz w:val="26"/>
          <w:szCs w:val="26"/>
          <w:lang w:val="en-GB"/>
        </w:rPr>
        <w:t xml:space="preserve">       </w:t>
      </w:r>
      <w:r w:rsidRPr="00CE70A6">
        <w:rPr>
          <w:rFonts w:asciiTheme="majorBidi" w:hAnsiTheme="majorBidi" w:cstheme="majorBidi"/>
          <w:sz w:val="26"/>
          <w:szCs w:val="26"/>
          <w:lang w:val="en-US"/>
        </w:rPr>
        <w:t xml:space="preserve">D. W. Higgins, "More Ghosts: A Grim Chronicle of Shadowy Visitations," </w:t>
      </w:r>
      <w:r w:rsidRPr="00CE70A6">
        <w:rPr>
          <w:rFonts w:asciiTheme="majorBidi" w:hAnsiTheme="majorBidi" w:cstheme="majorBidi"/>
          <w:i/>
          <w:iCs/>
          <w:sz w:val="26"/>
          <w:szCs w:val="26"/>
          <w:lang w:val="en-US"/>
        </w:rPr>
        <w:t>Victoria Daily Colonist</w:t>
      </w:r>
      <w:r w:rsidRPr="00CE70A6">
        <w:rPr>
          <w:rFonts w:asciiTheme="majorBidi" w:hAnsiTheme="majorBidi" w:cstheme="majorBidi"/>
          <w:sz w:val="26"/>
          <w:szCs w:val="26"/>
          <w:lang w:val="en-US"/>
        </w:rPr>
        <w:t>, 25 October 1903, 6, http://britishcolonist.ca/display.php?issue=19031025.</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sz w:val="26"/>
          <w:szCs w:val="26"/>
          <w:lang w:val="en-GB"/>
        </w:rPr>
        <w:t xml:space="preserve">B.                      </w:t>
      </w:r>
      <w:r w:rsidRPr="00CE70A6">
        <w:rPr>
          <w:rFonts w:asciiTheme="majorBidi" w:hAnsiTheme="majorBidi" w:cstheme="majorBidi"/>
          <w:sz w:val="26"/>
          <w:szCs w:val="26"/>
          <w:lang w:val="en-US"/>
        </w:rPr>
        <w:t xml:space="preserve">Higgins, D.W. "More Ghosts: A Grim Chronicle of Shadowy Visitations." </w:t>
      </w:r>
      <w:r w:rsidRPr="00CE70A6">
        <w:rPr>
          <w:rFonts w:asciiTheme="majorBidi" w:hAnsiTheme="majorBidi" w:cstheme="majorBidi"/>
          <w:i/>
          <w:iCs/>
          <w:sz w:val="26"/>
          <w:szCs w:val="26"/>
          <w:lang w:val="en-US"/>
        </w:rPr>
        <w:t>Victoria Daily Colonist</w:t>
      </w:r>
      <w:r w:rsidRPr="00CE70A6">
        <w:rPr>
          <w:rFonts w:asciiTheme="majorBidi" w:hAnsiTheme="majorBidi" w:cstheme="majorBidi"/>
          <w:sz w:val="26"/>
          <w:szCs w:val="26"/>
          <w:lang w:val="en-US"/>
        </w:rPr>
        <w:t>, 25 October 1903, 6. http://britishcolonist.ca/display.php?issue=19031025</w:t>
      </w:r>
      <w:r w:rsidRPr="00CE70A6">
        <w:rPr>
          <w:rFonts w:asciiTheme="majorBidi" w:hAnsiTheme="majorBidi" w:cstheme="majorBidi"/>
          <w:sz w:val="26"/>
          <w:szCs w:val="26"/>
          <w:lang w:val="en-GB"/>
        </w:rPr>
        <w:t xml:space="preserve"> </w:t>
      </w:r>
    </w:p>
    <w:p w:rsidR="00A10E91" w:rsidRPr="00CE70A6" w:rsidRDefault="00A10E91" w:rsidP="00CE70A6">
      <w:pPr>
        <w:pStyle w:val="NormalWeb"/>
        <w:spacing w:line="360" w:lineRule="auto"/>
        <w:jc w:val="both"/>
        <w:rPr>
          <w:rFonts w:asciiTheme="majorBidi" w:hAnsiTheme="majorBidi" w:cstheme="majorBidi"/>
          <w:b/>
          <w:bCs/>
          <w:sz w:val="26"/>
          <w:szCs w:val="26"/>
          <w:lang w:val="en-GB"/>
        </w:rPr>
      </w:pPr>
      <w:r w:rsidRPr="00CE70A6">
        <w:rPr>
          <w:rFonts w:asciiTheme="majorBidi" w:hAnsiTheme="majorBidi" w:cstheme="majorBidi"/>
          <w:b/>
          <w:bCs/>
          <w:sz w:val="26"/>
          <w:szCs w:val="26"/>
          <w:lang w:val="en-GB"/>
        </w:rPr>
        <w:t xml:space="preserve">Website   </w:t>
      </w:r>
    </w:p>
    <w:p w:rsidR="00A10E91" w:rsidRPr="00CE70A6" w:rsidRDefault="00A10E91" w:rsidP="00CE70A6">
      <w:pPr>
        <w:pStyle w:val="NormalWeb"/>
        <w:spacing w:line="360" w:lineRule="auto"/>
        <w:jc w:val="both"/>
        <w:rPr>
          <w:rFonts w:asciiTheme="majorBidi" w:hAnsiTheme="majorBidi" w:cstheme="majorBidi"/>
          <w:color w:val="665F63"/>
          <w:sz w:val="26"/>
          <w:szCs w:val="26"/>
          <w:lang w:val="en-US"/>
        </w:rPr>
      </w:pPr>
      <w:r w:rsidRPr="00CE70A6">
        <w:rPr>
          <w:rFonts w:asciiTheme="majorBidi" w:hAnsiTheme="majorBidi" w:cstheme="majorBidi"/>
          <w:sz w:val="26"/>
          <w:szCs w:val="26"/>
          <w:lang w:val="en-GB"/>
        </w:rPr>
        <w:lastRenderedPageBreak/>
        <w:t xml:space="preserve">N.            </w:t>
      </w:r>
      <w:r w:rsidRPr="00CE70A6">
        <w:rPr>
          <w:rFonts w:asciiTheme="majorBidi" w:hAnsiTheme="majorBidi" w:cstheme="majorBidi"/>
          <w:color w:val="000000"/>
          <w:sz w:val="26"/>
          <w:szCs w:val="26"/>
          <w:vertAlign w:val="superscript"/>
          <w:lang w:val="en-US"/>
        </w:rPr>
        <w:t>19</w:t>
      </w:r>
      <w:r w:rsidRPr="00CE70A6">
        <w:rPr>
          <w:rFonts w:asciiTheme="majorBidi" w:hAnsiTheme="majorBidi" w:cstheme="majorBidi"/>
          <w:sz w:val="26"/>
          <w:szCs w:val="26"/>
          <w:lang w:val="en-GB"/>
        </w:rPr>
        <w:t xml:space="preserve">       </w:t>
      </w:r>
      <w:r w:rsidRPr="00CE70A6">
        <w:rPr>
          <w:rFonts w:asciiTheme="majorBidi" w:hAnsiTheme="majorBidi" w:cstheme="majorBidi"/>
          <w:color w:val="665F63"/>
          <w:sz w:val="26"/>
          <w:szCs w:val="26"/>
          <w:lang w:val="en-US"/>
        </w:rPr>
        <w:t xml:space="preserve"> “Privacy Policy,” Google Policies &amp; Principles, last modified July 27, 2012, accessed January 3, 2013, </w:t>
      </w:r>
      <w:hyperlink r:id="rId5" w:history="1">
        <w:r w:rsidRPr="00CE70A6">
          <w:rPr>
            <w:rStyle w:val="Lienhypertexte"/>
            <w:rFonts w:asciiTheme="majorBidi" w:hAnsiTheme="majorBidi" w:cstheme="majorBidi"/>
            <w:sz w:val="26"/>
            <w:szCs w:val="26"/>
            <w:lang w:val="en-US"/>
          </w:rPr>
          <w:t>http://www.google.com/policies/privacy/</w:t>
        </w:r>
      </w:hyperlink>
      <w:r w:rsidRPr="00CE70A6">
        <w:rPr>
          <w:rFonts w:asciiTheme="majorBidi" w:hAnsiTheme="majorBidi" w:cstheme="majorBidi"/>
          <w:color w:val="665F63"/>
          <w:sz w:val="26"/>
          <w:szCs w:val="26"/>
          <w:lang w:val="en-US"/>
        </w:rPr>
        <w:t>.</w:t>
      </w:r>
    </w:p>
    <w:p w:rsidR="00A10E91" w:rsidRPr="00CE70A6" w:rsidRDefault="00A10E91" w:rsidP="00CE70A6">
      <w:pPr>
        <w:pStyle w:val="NormalWeb"/>
        <w:spacing w:line="360" w:lineRule="auto"/>
        <w:jc w:val="both"/>
        <w:rPr>
          <w:rFonts w:asciiTheme="majorBidi" w:hAnsiTheme="majorBidi" w:cstheme="majorBidi"/>
          <w:sz w:val="26"/>
          <w:szCs w:val="26"/>
          <w:lang w:val="en-GB"/>
        </w:rPr>
      </w:pPr>
      <w:r w:rsidRPr="00CE70A6">
        <w:rPr>
          <w:rFonts w:asciiTheme="majorBidi" w:hAnsiTheme="majorBidi" w:cstheme="majorBidi"/>
          <w:color w:val="000000"/>
          <w:sz w:val="26"/>
          <w:szCs w:val="26"/>
          <w:vertAlign w:val="superscript"/>
          <w:lang w:val="en-US"/>
        </w:rPr>
        <w:t xml:space="preserve">                                      20</w:t>
      </w:r>
      <w:r w:rsidRPr="00CE70A6">
        <w:rPr>
          <w:rFonts w:asciiTheme="majorBidi" w:hAnsiTheme="majorBidi" w:cstheme="majorBidi"/>
          <w:color w:val="665F63"/>
          <w:sz w:val="26"/>
          <w:szCs w:val="26"/>
          <w:lang w:val="en-US"/>
        </w:rPr>
        <w:t xml:space="preserve"> Google, “Privacy Policy.”</w:t>
      </w:r>
    </w:p>
    <w:p w:rsidR="00A10E91" w:rsidRPr="00CE70A6" w:rsidRDefault="00A10E91" w:rsidP="00CE70A6">
      <w:pPr>
        <w:shd w:val="clear" w:color="auto" w:fill="FFFFFF"/>
        <w:spacing w:line="360" w:lineRule="auto"/>
        <w:jc w:val="both"/>
        <w:rPr>
          <w:rFonts w:asciiTheme="majorBidi" w:hAnsiTheme="majorBidi" w:cstheme="majorBidi"/>
          <w:color w:val="665F63"/>
          <w:sz w:val="26"/>
          <w:szCs w:val="26"/>
          <w:lang w:val="en-US"/>
        </w:rPr>
      </w:pPr>
      <w:r w:rsidRPr="00CE70A6">
        <w:rPr>
          <w:rFonts w:asciiTheme="majorBidi" w:hAnsiTheme="majorBidi" w:cstheme="majorBidi"/>
          <w:sz w:val="26"/>
          <w:szCs w:val="26"/>
          <w:lang w:val="en-GB"/>
        </w:rPr>
        <w:t xml:space="preserve">B.                 </w:t>
      </w:r>
      <w:r w:rsidRPr="00CE70A6">
        <w:rPr>
          <w:rFonts w:asciiTheme="majorBidi" w:hAnsiTheme="majorBidi" w:cstheme="majorBidi"/>
          <w:color w:val="665F63"/>
          <w:sz w:val="26"/>
          <w:szCs w:val="26"/>
          <w:lang w:val="en-US"/>
        </w:rPr>
        <w:t>Google. “Privacy Policy.” Google Policies &amp; Principles. Last modified July 27, 2012. Accessed January 3, 2013. http://www.google.com/policies/privacy/.</w:t>
      </w:r>
    </w:p>
    <w:p w:rsidR="00A10E91" w:rsidRPr="00CE70A6" w:rsidRDefault="00A10E91" w:rsidP="00CE70A6">
      <w:pPr>
        <w:pStyle w:val="NormalWeb"/>
        <w:spacing w:line="360" w:lineRule="auto"/>
        <w:jc w:val="both"/>
        <w:rPr>
          <w:rFonts w:asciiTheme="majorBidi" w:hAnsiTheme="majorBidi" w:cstheme="majorBidi"/>
          <w:b/>
          <w:bCs/>
          <w:sz w:val="26"/>
          <w:szCs w:val="26"/>
          <w:u w:val="single"/>
          <w:lang w:val="en-GB"/>
        </w:rPr>
      </w:pPr>
      <w:r w:rsidRPr="00CE70A6">
        <w:rPr>
          <w:rFonts w:asciiTheme="majorBidi" w:hAnsiTheme="majorBidi" w:cstheme="majorBidi"/>
          <w:sz w:val="26"/>
          <w:szCs w:val="26"/>
          <w:lang w:val="en-GB"/>
        </w:rPr>
        <w:t xml:space="preserve">     </w:t>
      </w:r>
    </w:p>
    <w:p w:rsidR="004A5BF6" w:rsidRPr="00CE70A6" w:rsidRDefault="004A5BF6" w:rsidP="00CE70A6">
      <w:pPr>
        <w:spacing w:line="360" w:lineRule="auto"/>
        <w:rPr>
          <w:rFonts w:asciiTheme="majorBidi" w:hAnsiTheme="majorBidi" w:cstheme="majorBidi"/>
          <w:sz w:val="26"/>
          <w:szCs w:val="26"/>
          <w:lang w:val="en-US"/>
        </w:rPr>
      </w:pPr>
    </w:p>
    <w:sectPr w:rsidR="004A5BF6" w:rsidRPr="00CE70A6" w:rsidSect="004A5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E91"/>
    <w:rsid w:val="001E39A4"/>
    <w:rsid w:val="00292F89"/>
    <w:rsid w:val="002B3E20"/>
    <w:rsid w:val="003A2A66"/>
    <w:rsid w:val="00436E01"/>
    <w:rsid w:val="004A5BF6"/>
    <w:rsid w:val="00573F57"/>
    <w:rsid w:val="006B300E"/>
    <w:rsid w:val="00731647"/>
    <w:rsid w:val="00762435"/>
    <w:rsid w:val="00A10E91"/>
    <w:rsid w:val="00A647E3"/>
    <w:rsid w:val="00AF538D"/>
    <w:rsid w:val="00B34BD2"/>
    <w:rsid w:val="00CE70A6"/>
    <w:rsid w:val="00E54468"/>
    <w:rsid w:val="00F5082B"/>
    <w:rsid w:val="00F55E4B"/>
    <w:rsid w:val="00F922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91"/>
    <w:pPr>
      <w:spacing w:after="0" w:line="240" w:lineRule="auto"/>
    </w:pPr>
    <w:rPr>
      <w:rFonts w:ascii="Times New Roman" w:eastAsia="Times New Roman" w:hAnsi="Times New Roman" w:cs="Times New Roman"/>
      <w:sz w:val="24"/>
      <w:szCs w:val="24"/>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10E91"/>
  </w:style>
  <w:style w:type="paragraph" w:styleId="NormalWeb">
    <w:name w:val="Normal (Web)"/>
    <w:basedOn w:val="Normal"/>
    <w:uiPriority w:val="99"/>
    <w:unhideWhenUsed/>
    <w:rsid w:val="00A10E91"/>
    <w:pPr>
      <w:spacing w:before="100" w:beforeAutospacing="1" w:after="100" w:afterAutospacing="1"/>
    </w:pPr>
    <w:rPr>
      <w:lang w:bidi="ar-SA"/>
    </w:rPr>
  </w:style>
  <w:style w:type="character" w:styleId="Accentuation">
    <w:name w:val="Emphasis"/>
    <w:basedOn w:val="Policepardfaut"/>
    <w:uiPriority w:val="20"/>
    <w:qFormat/>
    <w:rsid w:val="00A10E91"/>
    <w:rPr>
      <w:i/>
      <w:iCs/>
    </w:rPr>
  </w:style>
  <w:style w:type="character" w:styleId="Lienhypertexte">
    <w:name w:val="Hyperlink"/>
    <w:basedOn w:val="Policepardfaut"/>
    <w:uiPriority w:val="99"/>
    <w:unhideWhenUsed/>
    <w:rsid w:val="00A10E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91"/>
    <w:pPr>
      <w:spacing w:after="0" w:line="240" w:lineRule="auto"/>
    </w:pPr>
    <w:rPr>
      <w:rFonts w:ascii="Times New Roman" w:eastAsia="Times New Roman" w:hAnsi="Times New Roman" w:cs="Times New Roman"/>
      <w:sz w:val="24"/>
      <w:szCs w:val="24"/>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10E91"/>
  </w:style>
  <w:style w:type="paragraph" w:styleId="NormalWeb">
    <w:name w:val="Normal (Web)"/>
    <w:basedOn w:val="Normal"/>
    <w:uiPriority w:val="99"/>
    <w:unhideWhenUsed/>
    <w:rsid w:val="00A10E91"/>
    <w:pPr>
      <w:spacing w:before="100" w:beforeAutospacing="1" w:after="100" w:afterAutospacing="1"/>
    </w:pPr>
    <w:rPr>
      <w:lang w:bidi="ar-SA"/>
    </w:rPr>
  </w:style>
  <w:style w:type="character" w:styleId="Accentuation">
    <w:name w:val="Emphasis"/>
    <w:basedOn w:val="Policepardfaut"/>
    <w:uiPriority w:val="20"/>
    <w:qFormat/>
    <w:rsid w:val="00A10E91"/>
    <w:rPr>
      <w:i/>
      <w:iCs/>
    </w:rPr>
  </w:style>
  <w:style w:type="character" w:styleId="Lienhypertexte">
    <w:name w:val="Hyperlink"/>
    <w:basedOn w:val="Policepardfaut"/>
    <w:uiPriority w:val="99"/>
    <w:unhideWhenUsed/>
    <w:rsid w:val="00A10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policies/privac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1489</Words>
  <Characters>8193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SIDAHMED</dc:creator>
  <cp:lastModifiedBy>pc plus</cp:lastModifiedBy>
  <cp:revision>2</cp:revision>
  <dcterms:created xsi:type="dcterms:W3CDTF">2020-03-21T11:21:00Z</dcterms:created>
  <dcterms:modified xsi:type="dcterms:W3CDTF">2020-03-21T11:21:00Z</dcterms:modified>
</cp:coreProperties>
</file>