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29E" w:rsidRPr="0083629E" w:rsidRDefault="0083629E" w:rsidP="0083629E">
      <w:pPr>
        <w:spacing w:after="600" w:line="240" w:lineRule="auto"/>
        <w:outlineLvl w:val="0"/>
        <w:rPr>
          <w:rFonts w:asciiTheme="majorBidi" w:eastAsia="Times New Roman" w:hAnsiTheme="majorBidi" w:cstheme="majorBidi"/>
          <w:bCs/>
          <w:kern w:val="36"/>
          <w:sz w:val="24"/>
          <w:szCs w:val="24"/>
          <w:lang w:val="es-ES" w:eastAsia="fr-FR"/>
        </w:rPr>
      </w:pPr>
      <w:bookmarkStart w:id="0" w:name="_GoBack"/>
      <w:bookmarkEnd w:id="0"/>
      <w:r>
        <w:rPr>
          <w:rFonts w:asciiTheme="majorBidi" w:hAnsiTheme="majorBidi" w:cstheme="majorBidi"/>
          <w:bCs/>
          <w:sz w:val="24"/>
          <w:szCs w:val="24"/>
          <w:lang w:val="es-ES_tradnl"/>
        </w:rPr>
        <w:t xml:space="preserve">Traduce el  siguiente texto francés-español:                             </w:t>
      </w:r>
      <w:proofErr w:type="spellStart"/>
      <w:r>
        <w:rPr>
          <w:rFonts w:asciiTheme="majorBidi" w:hAnsiTheme="majorBidi" w:cstheme="majorBidi"/>
          <w:bCs/>
          <w:sz w:val="24"/>
          <w:szCs w:val="24"/>
          <w:lang w:val="es-ES_tradnl"/>
        </w:rPr>
        <w:t>Traduction</w:t>
      </w:r>
      <w:proofErr w:type="spellEnd"/>
      <w:r>
        <w:rPr>
          <w:rFonts w:asciiTheme="majorBidi" w:hAnsiTheme="majorBidi" w:cstheme="majorBidi"/>
          <w:bCs/>
          <w:sz w:val="24"/>
          <w:szCs w:val="24"/>
          <w:lang w:val="es-ES_tradnl"/>
        </w:rPr>
        <w:t xml:space="preserve"> de </w:t>
      </w:r>
      <w:proofErr w:type="spellStart"/>
      <w:r>
        <w:rPr>
          <w:rFonts w:asciiTheme="majorBidi" w:hAnsiTheme="majorBidi" w:cstheme="majorBidi"/>
          <w:bCs/>
          <w:sz w:val="24"/>
          <w:szCs w:val="24"/>
          <w:lang w:val="es-ES_tradnl"/>
        </w:rPr>
        <w:t>texte</w:t>
      </w:r>
      <w:proofErr w:type="spellEnd"/>
      <w:r>
        <w:rPr>
          <w:rFonts w:asciiTheme="majorBidi" w:hAnsiTheme="majorBidi" w:cstheme="majorBidi"/>
          <w:bCs/>
          <w:sz w:val="24"/>
          <w:szCs w:val="24"/>
          <w:lang w:val="es-ES_tradnl"/>
        </w:rPr>
        <w:t xml:space="preserve"> en 2 </w:t>
      </w:r>
      <w:proofErr w:type="spellStart"/>
      <w:r>
        <w:rPr>
          <w:rFonts w:asciiTheme="majorBidi" w:hAnsiTheme="majorBidi" w:cstheme="majorBidi"/>
          <w:bCs/>
          <w:sz w:val="24"/>
          <w:szCs w:val="24"/>
          <w:lang w:val="es-ES_tradnl"/>
        </w:rPr>
        <w:t>séances</w:t>
      </w:r>
      <w:proofErr w:type="spellEnd"/>
      <w:r>
        <w:rPr>
          <w:rFonts w:asciiTheme="majorBidi" w:hAnsiTheme="majorBidi" w:cstheme="majorBidi"/>
          <w:bCs/>
          <w:sz w:val="24"/>
          <w:szCs w:val="24"/>
          <w:lang w:val="es-ES_tradnl"/>
        </w:rPr>
        <w:t xml:space="preserve"> L2</w:t>
      </w:r>
    </w:p>
    <w:p w:rsidR="00EB3B07" w:rsidRDefault="00EB3B07" w:rsidP="00775AC8">
      <w:pPr>
        <w:shd w:val="clear" w:color="auto" w:fill="FFFFFF"/>
        <w:spacing w:after="0" w:line="240" w:lineRule="auto"/>
        <w:jc w:val="center"/>
        <w:outlineLvl w:val="1"/>
        <w:rPr>
          <w:rFonts w:asciiTheme="majorBidi" w:eastAsia="Times New Roman" w:hAnsiTheme="majorBidi" w:cstheme="majorBidi"/>
          <w:b/>
          <w:bCs/>
          <w:color w:val="2E2E2E"/>
          <w:sz w:val="24"/>
          <w:szCs w:val="24"/>
          <w:lang w:eastAsia="fr-FR"/>
        </w:rPr>
      </w:pPr>
      <w:r w:rsidRPr="00EB3B07">
        <w:rPr>
          <w:rFonts w:asciiTheme="majorBidi" w:eastAsia="Times New Roman" w:hAnsiTheme="majorBidi" w:cstheme="majorBidi"/>
          <w:b/>
          <w:bCs/>
          <w:color w:val="2E2E2E"/>
          <w:sz w:val="24"/>
          <w:szCs w:val="24"/>
          <w:lang w:eastAsia="fr-FR"/>
        </w:rPr>
        <w:t>L'INVESTISSEMENT</w:t>
      </w:r>
    </w:p>
    <w:p w:rsidR="0083629E" w:rsidRPr="00EB3B07" w:rsidRDefault="0083629E" w:rsidP="00775AC8">
      <w:pPr>
        <w:shd w:val="clear" w:color="auto" w:fill="FFFFFF"/>
        <w:spacing w:after="0" w:line="240" w:lineRule="auto"/>
        <w:jc w:val="center"/>
        <w:outlineLvl w:val="1"/>
        <w:rPr>
          <w:rFonts w:asciiTheme="majorBidi" w:eastAsia="Times New Roman" w:hAnsiTheme="majorBidi" w:cstheme="majorBidi"/>
          <w:b/>
          <w:bCs/>
          <w:color w:val="2E2E2E"/>
          <w:sz w:val="24"/>
          <w:szCs w:val="24"/>
          <w:lang w:eastAsia="fr-FR"/>
        </w:rPr>
      </w:pPr>
    </w:p>
    <w:p w:rsidR="00EB3B07" w:rsidRPr="00EB3B07" w:rsidRDefault="00EB3B07" w:rsidP="00EB3B07">
      <w:pPr>
        <w:shd w:val="clear" w:color="auto" w:fill="FFFFFF"/>
        <w:spacing w:after="0" w:line="240" w:lineRule="auto"/>
        <w:jc w:val="both"/>
        <w:outlineLvl w:val="1"/>
        <w:rPr>
          <w:rFonts w:asciiTheme="majorBidi" w:eastAsia="Times New Roman" w:hAnsiTheme="majorBidi" w:cstheme="majorBidi"/>
          <w:b/>
          <w:bCs/>
          <w:color w:val="2E2E2E"/>
          <w:sz w:val="24"/>
          <w:szCs w:val="24"/>
          <w:lang w:eastAsia="fr-FR"/>
        </w:rPr>
      </w:pPr>
      <w:r w:rsidRPr="00EB3B07">
        <w:rPr>
          <w:rFonts w:asciiTheme="majorBidi" w:eastAsia="Times New Roman" w:hAnsiTheme="majorBidi" w:cstheme="majorBidi"/>
          <w:b/>
          <w:bCs/>
          <w:color w:val="2E2E2E"/>
          <w:sz w:val="24"/>
          <w:szCs w:val="24"/>
          <w:lang w:eastAsia="fr-FR"/>
        </w:rPr>
        <w:t>Croissance, capital et progrès technique</w:t>
      </w:r>
      <w:r w:rsidRPr="00EB3B07">
        <w:rPr>
          <w:rFonts w:asciiTheme="majorBidi" w:eastAsia="Times New Roman" w:hAnsiTheme="majorBidi" w:cstheme="majorBidi"/>
          <w:color w:val="2E2E2E"/>
          <w:sz w:val="24"/>
          <w:szCs w:val="24"/>
          <w:lang w:eastAsia="fr-FR"/>
        </w:rPr>
        <w:br/>
        <w:t> </w:t>
      </w:r>
      <w:r w:rsidRPr="00EB3B07">
        <w:rPr>
          <w:rFonts w:asciiTheme="majorBidi" w:eastAsia="Times New Roman" w:hAnsiTheme="majorBidi" w:cstheme="majorBidi"/>
          <w:color w:val="2E2E2E"/>
          <w:sz w:val="24"/>
          <w:szCs w:val="24"/>
          <w:lang w:eastAsia="fr-FR"/>
        </w:rPr>
        <w:br/>
        <w:t>L'investissement est un thème majeur en économie. En tant que déterminant fondamental de la croissance à long terme, ce thème est toujours d'actualité et source de problématiques riches et variées: développement, épargne, capital humain, croissance endogène...</w:t>
      </w:r>
      <w:r w:rsidRPr="00EB3B07">
        <w:rPr>
          <w:rFonts w:asciiTheme="majorBidi" w:eastAsia="Times New Roman" w:hAnsiTheme="majorBidi" w:cstheme="majorBidi"/>
          <w:color w:val="2E2E2E"/>
          <w:sz w:val="24"/>
          <w:szCs w:val="24"/>
          <w:lang w:eastAsia="fr-FR"/>
        </w:rPr>
        <w:br/>
        <w:t>L'investissement est une dépense engagée en vue d'obtenir des flux de revenus futurs. Cette dépense se distingue donc de la consommation. En ce sens, l'investissement s'inscrit dans un cycle de long terme. Ici encore, l'angle de vue peut-être microéconomique ou macroéconomique.</w:t>
      </w:r>
      <w:r w:rsidRPr="00EB3B07">
        <w:rPr>
          <w:rFonts w:asciiTheme="majorBidi" w:eastAsia="Times New Roman" w:hAnsiTheme="majorBidi" w:cstheme="majorBidi"/>
          <w:color w:val="2E2E2E"/>
          <w:sz w:val="24"/>
          <w:szCs w:val="24"/>
          <w:lang w:eastAsia="fr-FR"/>
        </w:rPr>
        <w:br/>
      </w:r>
      <w:r w:rsidRPr="00EB3B07">
        <w:rPr>
          <w:rFonts w:asciiTheme="majorBidi" w:eastAsia="Times New Roman" w:hAnsiTheme="majorBidi" w:cstheme="majorBidi"/>
          <w:color w:val="2E2E2E"/>
          <w:sz w:val="24"/>
          <w:szCs w:val="24"/>
          <w:lang w:eastAsia="fr-FR"/>
        </w:rPr>
        <w:br/>
      </w:r>
    </w:p>
    <w:p w:rsidR="00EB3B07" w:rsidRPr="00775AC8" w:rsidRDefault="00EB3B07" w:rsidP="00775AC8">
      <w:pPr>
        <w:pStyle w:val="Paragraphedeliste"/>
        <w:numPr>
          <w:ilvl w:val="0"/>
          <w:numId w:val="1"/>
        </w:numPr>
        <w:shd w:val="clear" w:color="auto" w:fill="FFFFFF"/>
        <w:spacing w:after="0" w:line="240" w:lineRule="auto"/>
        <w:jc w:val="both"/>
        <w:outlineLvl w:val="2"/>
        <w:rPr>
          <w:rFonts w:asciiTheme="majorBidi" w:eastAsia="Times New Roman" w:hAnsiTheme="majorBidi" w:cstheme="majorBidi"/>
          <w:b/>
          <w:bCs/>
          <w:color w:val="2E2E2E"/>
          <w:sz w:val="24"/>
          <w:szCs w:val="24"/>
          <w:lang w:eastAsia="fr-FR"/>
        </w:rPr>
      </w:pPr>
      <w:r w:rsidRPr="00775AC8">
        <w:rPr>
          <w:rFonts w:asciiTheme="majorBidi" w:eastAsia="Times New Roman" w:hAnsiTheme="majorBidi" w:cstheme="majorBidi"/>
          <w:b/>
          <w:bCs/>
          <w:color w:val="2E2E2E"/>
          <w:sz w:val="24"/>
          <w:szCs w:val="24"/>
          <w:lang w:eastAsia="fr-FR"/>
        </w:rPr>
        <w:t>L'investissement: du microéconomique au macroéconomique.</w:t>
      </w:r>
    </w:p>
    <w:p w:rsidR="00775AC8" w:rsidRPr="00775AC8" w:rsidRDefault="00775AC8" w:rsidP="00775AC8">
      <w:pPr>
        <w:pStyle w:val="Paragraphedeliste"/>
        <w:shd w:val="clear" w:color="auto" w:fill="FFFFFF"/>
        <w:spacing w:after="0" w:line="240" w:lineRule="auto"/>
        <w:ind w:left="1080"/>
        <w:jc w:val="both"/>
        <w:outlineLvl w:val="2"/>
        <w:rPr>
          <w:rFonts w:asciiTheme="majorBidi" w:eastAsia="Times New Roman" w:hAnsiTheme="majorBidi" w:cstheme="majorBidi"/>
          <w:b/>
          <w:bCs/>
          <w:color w:val="2E2E2E"/>
          <w:sz w:val="24"/>
          <w:szCs w:val="24"/>
          <w:lang w:eastAsia="fr-FR"/>
        </w:rPr>
      </w:pPr>
    </w:p>
    <w:p w:rsidR="00EB3B07" w:rsidRPr="00EB3B07" w:rsidRDefault="00EB3B07" w:rsidP="00EB3B07">
      <w:pPr>
        <w:shd w:val="clear" w:color="auto" w:fill="FFFFFF"/>
        <w:spacing w:after="0" w:line="240" w:lineRule="auto"/>
        <w:jc w:val="both"/>
        <w:rPr>
          <w:rFonts w:asciiTheme="majorBidi" w:eastAsia="Times New Roman" w:hAnsiTheme="majorBidi" w:cstheme="majorBidi"/>
          <w:color w:val="2E2E2E"/>
          <w:sz w:val="24"/>
          <w:szCs w:val="24"/>
          <w:lang w:eastAsia="fr-FR"/>
        </w:rPr>
      </w:pPr>
      <w:r w:rsidRPr="00EB3B07">
        <w:rPr>
          <w:rFonts w:asciiTheme="majorBidi" w:eastAsia="Times New Roman" w:hAnsiTheme="majorBidi" w:cstheme="majorBidi"/>
          <w:color w:val="2E2E2E"/>
          <w:sz w:val="24"/>
          <w:szCs w:val="24"/>
          <w:lang w:eastAsia="fr-FR"/>
        </w:rPr>
        <w:t xml:space="preserve">- Même si les ménages aussi sont concernés (achat immobilier, achat d'actions...), l'investissement (I) est au </w:t>
      </w:r>
      <w:proofErr w:type="spellStart"/>
      <w:r w:rsidRPr="00EB3B07">
        <w:rPr>
          <w:rFonts w:asciiTheme="majorBidi" w:eastAsia="Times New Roman" w:hAnsiTheme="majorBidi" w:cstheme="majorBidi"/>
          <w:color w:val="2E2E2E"/>
          <w:sz w:val="24"/>
          <w:szCs w:val="24"/>
          <w:lang w:eastAsia="fr-FR"/>
        </w:rPr>
        <w:t>coeur</w:t>
      </w:r>
      <w:proofErr w:type="spellEnd"/>
      <w:r w:rsidRPr="00EB3B07">
        <w:rPr>
          <w:rFonts w:asciiTheme="majorBidi" w:eastAsia="Times New Roman" w:hAnsiTheme="majorBidi" w:cstheme="majorBidi"/>
          <w:color w:val="2E2E2E"/>
          <w:sz w:val="24"/>
          <w:szCs w:val="24"/>
          <w:lang w:eastAsia="fr-FR"/>
        </w:rPr>
        <w:t xml:space="preserve"> de la logique d'entreprise. Celle-ci doit engager des dépenses nécessaires à sa création, à son activité et à sa croissance.</w:t>
      </w:r>
      <w:r w:rsidRPr="00EB3B07">
        <w:rPr>
          <w:rFonts w:asciiTheme="majorBidi" w:eastAsia="Times New Roman" w:hAnsiTheme="majorBidi" w:cstheme="majorBidi"/>
          <w:color w:val="2E2E2E"/>
          <w:sz w:val="24"/>
          <w:szCs w:val="24"/>
          <w:lang w:eastAsia="fr-FR"/>
        </w:rPr>
        <w:br/>
        <w:t>- On peut distinguer l'I de </w:t>
      </w:r>
      <w:r w:rsidRPr="00EB3B07">
        <w:rPr>
          <w:rFonts w:asciiTheme="majorBidi" w:eastAsia="Times New Roman" w:hAnsiTheme="majorBidi" w:cstheme="majorBidi"/>
          <w:b/>
          <w:bCs/>
          <w:color w:val="2E2E2E"/>
          <w:sz w:val="24"/>
          <w:szCs w:val="24"/>
          <w:lang w:eastAsia="fr-FR"/>
        </w:rPr>
        <w:t>capacité</w:t>
      </w:r>
      <w:r w:rsidRPr="00EB3B07">
        <w:rPr>
          <w:rFonts w:asciiTheme="majorBidi" w:eastAsia="Times New Roman" w:hAnsiTheme="majorBidi" w:cstheme="majorBidi"/>
          <w:color w:val="2E2E2E"/>
          <w:sz w:val="24"/>
          <w:szCs w:val="24"/>
          <w:lang w:eastAsia="fr-FR"/>
        </w:rPr>
        <w:t> en vue de déterminer et/ou d'accroître les capacités de production (construction d'usines, achat de machines...), l'I de </w:t>
      </w:r>
      <w:r w:rsidRPr="00EB3B07">
        <w:rPr>
          <w:rFonts w:asciiTheme="majorBidi" w:eastAsia="Times New Roman" w:hAnsiTheme="majorBidi" w:cstheme="majorBidi"/>
          <w:b/>
          <w:bCs/>
          <w:color w:val="2E2E2E"/>
          <w:sz w:val="24"/>
          <w:szCs w:val="24"/>
          <w:lang w:eastAsia="fr-FR"/>
        </w:rPr>
        <w:t>remplacement</w:t>
      </w:r>
      <w:r w:rsidRPr="00EB3B07">
        <w:rPr>
          <w:rFonts w:asciiTheme="majorBidi" w:eastAsia="Times New Roman" w:hAnsiTheme="majorBidi" w:cstheme="majorBidi"/>
          <w:color w:val="2E2E2E"/>
          <w:sz w:val="24"/>
          <w:szCs w:val="24"/>
          <w:lang w:eastAsia="fr-FR"/>
        </w:rPr>
        <w:t xml:space="preserve"> (il faut bien </w:t>
      </w:r>
      <w:proofErr w:type="spellStart"/>
      <w:r w:rsidRPr="00EB3B07">
        <w:rPr>
          <w:rFonts w:asciiTheme="majorBidi" w:eastAsia="Times New Roman" w:hAnsiTheme="majorBidi" w:cstheme="majorBidi"/>
          <w:color w:val="2E2E2E"/>
          <w:sz w:val="24"/>
          <w:szCs w:val="24"/>
          <w:lang w:eastAsia="fr-FR"/>
        </w:rPr>
        <w:t>renouveller</w:t>
      </w:r>
      <w:proofErr w:type="spellEnd"/>
      <w:r w:rsidRPr="00EB3B07">
        <w:rPr>
          <w:rFonts w:asciiTheme="majorBidi" w:eastAsia="Times New Roman" w:hAnsiTheme="majorBidi" w:cstheme="majorBidi"/>
          <w:color w:val="2E2E2E"/>
          <w:sz w:val="24"/>
          <w:szCs w:val="24"/>
          <w:lang w:eastAsia="fr-FR"/>
        </w:rPr>
        <w:t xml:space="preserve"> le capital technique usé, obsolète...) et l'I de </w:t>
      </w:r>
      <w:r w:rsidRPr="00EB3B07">
        <w:rPr>
          <w:rFonts w:asciiTheme="majorBidi" w:eastAsia="Times New Roman" w:hAnsiTheme="majorBidi" w:cstheme="majorBidi"/>
          <w:b/>
          <w:bCs/>
          <w:color w:val="2E2E2E"/>
          <w:sz w:val="24"/>
          <w:szCs w:val="24"/>
          <w:lang w:eastAsia="fr-FR"/>
        </w:rPr>
        <w:t>productivité</w:t>
      </w:r>
      <w:r w:rsidRPr="00EB3B07">
        <w:rPr>
          <w:rFonts w:asciiTheme="majorBidi" w:eastAsia="Times New Roman" w:hAnsiTheme="majorBidi" w:cstheme="majorBidi"/>
          <w:color w:val="2E2E2E"/>
          <w:sz w:val="24"/>
          <w:szCs w:val="24"/>
          <w:lang w:eastAsia="fr-FR"/>
        </w:rPr>
        <w:t> (pour améliorer la productivité).</w:t>
      </w:r>
      <w:r w:rsidRPr="00EB3B07">
        <w:rPr>
          <w:rFonts w:asciiTheme="majorBidi" w:eastAsia="Times New Roman" w:hAnsiTheme="majorBidi" w:cstheme="majorBidi"/>
          <w:color w:val="2E2E2E"/>
          <w:sz w:val="24"/>
          <w:szCs w:val="24"/>
          <w:lang w:eastAsia="fr-FR"/>
        </w:rPr>
        <w:br/>
        <w:t>- On peut aussi distinguer l'I </w:t>
      </w:r>
      <w:r w:rsidRPr="00EB3B07">
        <w:rPr>
          <w:rFonts w:asciiTheme="majorBidi" w:eastAsia="Times New Roman" w:hAnsiTheme="majorBidi" w:cstheme="majorBidi"/>
          <w:b/>
          <w:bCs/>
          <w:color w:val="2E2E2E"/>
          <w:sz w:val="24"/>
          <w:szCs w:val="24"/>
          <w:lang w:eastAsia="fr-FR"/>
        </w:rPr>
        <w:t>matériel</w:t>
      </w:r>
      <w:r w:rsidRPr="00EB3B07">
        <w:rPr>
          <w:rFonts w:asciiTheme="majorBidi" w:eastAsia="Times New Roman" w:hAnsiTheme="majorBidi" w:cstheme="majorBidi"/>
          <w:color w:val="2E2E2E"/>
          <w:sz w:val="24"/>
          <w:szCs w:val="24"/>
          <w:lang w:eastAsia="fr-FR"/>
        </w:rPr>
        <w:t> de l'I </w:t>
      </w:r>
      <w:r w:rsidRPr="00EB3B07">
        <w:rPr>
          <w:rFonts w:asciiTheme="majorBidi" w:eastAsia="Times New Roman" w:hAnsiTheme="majorBidi" w:cstheme="majorBidi"/>
          <w:b/>
          <w:bCs/>
          <w:color w:val="2E2E2E"/>
          <w:sz w:val="24"/>
          <w:szCs w:val="24"/>
          <w:lang w:eastAsia="fr-FR"/>
        </w:rPr>
        <w:t>immatériel</w:t>
      </w:r>
      <w:r w:rsidRPr="00EB3B07">
        <w:rPr>
          <w:rFonts w:asciiTheme="majorBidi" w:eastAsia="Times New Roman" w:hAnsiTheme="majorBidi" w:cstheme="majorBidi"/>
          <w:color w:val="2E2E2E"/>
          <w:sz w:val="24"/>
          <w:szCs w:val="24"/>
          <w:lang w:eastAsia="fr-FR"/>
        </w:rPr>
        <w:t>. Ce dernier concerne les dépenses autres que celles en capital fixe mais toujours dans l'objectif de générer des bénéfices futurs (dépenses de publicité, R&amp;D, formation du personnel...)</w:t>
      </w:r>
      <w:r w:rsidRPr="00EB3B07">
        <w:rPr>
          <w:rFonts w:asciiTheme="majorBidi" w:eastAsia="Times New Roman" w:hAnsiTheme="majorBidi" w:cstheme="majorBidi"/>
          <w:color w:val="2E2E2E"/>
          <w:sz w:val="24"/>
          <w:szCs w:val="24"/>
          <w:lang w:eastAsia="fr-FR"/>
        </w:rPr>
        <w:br/>
        <w:t>- Autrement dit, si on ne consomme pas « pour rien », on investit encore moins « pour rien ».</w:t>
      </w:r>
      <w:r w:rsidRPr="00EB3B07">
        <w:rPr>
          <w:rFonts w:asciiTheme="majorBidi" w:eastAsia="Times New Roman" w:hAnsiTheme="majorBidi" w:cstheme="majorBidi"/>
          <w:color w:val="2E2E2E"/>
          <w:sz w:val="24"/>
          <w:szCs w:val="24"/>
          <w:lang w:eastAsia="fr-FR"/>
        </w:rPr>
        <w:br/>
        <w:t>- La </w:t>
      </w:r>
      <w:r w:rsidRPr="00EB3B07">
        <w:rPr>
          <w:rFonts w:asciiTheme="majorBidi" w:eastAsia="Times New Roman" w:hAnsiTheme="majorBidi" w:cstheme="majorBidi"/>
          <w:b/>
          <w:bCs/>
          <w:color w:val="2E2E2E"/>
          <w:sz w:val="24"/>
          <w:szCs w:val="24"/>
          <w:lang w:eastAsia="fr-FR"/>
        </w:rPr>
        <w:t>rentabilité</w:t>
      </w:r>
      <w:r w:rsidRPr="00EB3B07">
        <w:rPr>
          <w:rFonts w:asciiTheme="majorBidi" w:eastAsia="Times New Roman" w:hAnsiTheme="majorBidi" w:cstheme="majorBidi"/>
          <w:color w:val="2E2E2E"/>
          <w:sz w:val="24"/>
          <w:szCs w:val="24"/>
          <w:lang w:eastAsia="fr-FR"/>
        </w:rPr>
        <w:t> d'un investissement se calcule par un taux de rentabilité économique (Re). Exemple: grâce à une machine acheté 1000, une entreprise fabrique et vend un produit qui génère un bénéfice de 80, d'où 80/1000 = 8% de Re. A ne pas confondre avec la rentabilité financière qui dépend du mode de financement de l'I (voir fiche effet de levier).</w:t>
      </w:r>
      <w:r w:rsidRPr="00EB3B07">
        <w:rPr>
          <w:rFonts w:asciiTheme="majorBidi" w:eastAsia="Times New Roman" w:hAnsiTheme="majorBidi" w:cstheme="majorBidi"/>
          <w:color w:val="2E2E2E"/>
          <w:sz w:val="24"/>
          <w:szCs w:val="24"/>
          <w:lang w:eastAsia="fr-FR"/>
        </w:rPr>
        <w:br/>
        <w:t>- Au niveau macroéconomique, on calcule la </w:t>
      </w:r>
      <w:r w:rsidRPr="00EB3B07">
        <w:rPr>
          <w:rFonts w:asciiTheme="majorBidi" w:eastAsia="Times New Roman" w:hAnsiTheme="majorBidi" w:cstheme="majorBidi"/>
          <w:b/>
          <w:bCs/>
          <w:color w:val="2E2E2E"/>
          <w:sz w:val="24"/>
          <w:szCs w:val="24"/>
          <w:lang w:eastAsia="fr-FR"/>
        </w:rPr>
        <w:t>formation brute de capital fixe</w:t>
      </w:r>
      <w:r w:rsidRPr="00EB3B07">
        <w:rPr>
          <w:rFonts w:asciiTheme="majorBidi" w:eastAsia="Times New Roman" w:hAnsiTheme="majorBidi" w:cstheme="majorBidi"/>
          <w:color w:val="2E2E2E"/>
          <w:sz w:val="24"/>
          <w:szCs w:val="24"/>
          <w:lang w:eastAsia="fr-FR"/>
        </w:rPr>
        <w:t> (FBCF) dans laquelle l'investissement des ménages est inclus (programme de première). </w:t>
      </w:r>
      <w:r w:rsidRPr="00EB3B07">
        <w:rPr>
          <w:rFonts w:asciiTheme="majorBidi" w:eastAsia="Times New Roman" w:hAnsiTheme="majorBidi" w:cstheme="majorBidi"/>
          <w:color w:val="2E2E2E"/>
          <w:sz w:val="24"/>
          <w:szCs w:val="24"/>
          <w:lang w:eastAsia="fr-FR"/>
        </w:rPr>
        <w:br/>
      </w:r>
      <w:r w:rsidRPr="00EB3B07">
        <w:rPr>
          <w:rFonts w:asciiTheme="majorBidi" w:eastAsia="Times New Roman" w:hAnsiTheme="majorBidi" w:cstheme="majorBidi"/>
          <w:color w:val="2E2E2E"/>
          <w:sz w:val="24"/>
          <w:szCs w:val="24"/>
          <w:lang w:eastAsia="fr-FR"/>
        </w:rPr>
        <w:br/>
      </w:r>
    </w:p>
    <w:p w:rsidR="00EB3B07" w:rsidRDefault="00EB3B07" w:rsidP="00EB3B07">
      <w:pPr>
        <w:shd w:val="clear" w:color="auto" w:fill="FFFFFF"/>
        <w:spacing w:after="0" w:line="240" w:lineRule="auto"/>
        <w:jc w:val="both"/>
        <w:outlineLvl w:val="2"/>
        <w:rPr>
          <w:rFonts w:asciiTheme="majorBidi" w:eastAsia="Times New Roman" w:hAnsiTheme="majorBidi" w:cstheme="majorBidi"/>
          <w:b/>
          <w:bCs/>
          <w:color w:val="2E2E2E"/>
          <w:sz w:val="24"/>
          <w:szCs w:val="24"/>
          <w:lang w:eastAsia="fr-FR"/>
        </w:rPr>
      </w:pPr>
      <w:r w:rsidRPr="00EB3B07">
        <w:rPr>
          <w:rFonts w:asciiTheme="majorBidi" w:eastAsia="Times New Roman" w:hAnsiTheme="majorBidi" w:cstheme="majorBidi"/>
          <w:b/>
          <w:bCs/>
          <w:color w:val="2E2E2E"/>
          <w:sz w:val="24"/>
          <w:szCs w:val="24"/>
          <w:lang w:eastAsia="fr-FR"/>
        </w:rPr>
        <w:t>II. Les déterminants de l'investissement.</w:t>
      </w:r>
    </w:p>
    <w:p w:rsidR="00775AC8" w:rsidRPr="00EB3B07" w:rsidRDefault="00775AC8" w:rsidP="00EB3B07">
      <w:pPr>
        <w:shd w:val="clear" w:color="auto" w:fill="FFFFFF"/>
        <w:spacing w:after="0" w:line="240" w:lineRule="auto"/>
        <w:jc w:val="both"/>
        <w:outlineLvl w:val="2"/>
        <w:rPr>
          <w:rFonts w:asciiTheme="majorBidi" w:eastAsia="Times New Roman" w:hAnsiTheme="majorBidi" w:cstheme="majorBidi"/>
          <w:b/>
          <w:bCs/>
          <w:color w:val="2E2E2E"/>
          <w:sz w:val="24"/>
          <w:szCs w:val="24"/>
          <w:lang w:eastAsia="fr-FR"/>
        </w:rPr>
      </w:pPr>
    </w:p>
    <w:p w:rsidR="00EB3B07" w:rsidRPr="00EB3B07" w:rsidRDefault="00EB3B07" w:rsidP="00EB3B07">
      <w:pPr>
        <w:shd w:val="clear" w:color="auto" w:fill="FFFFFF"/>
        <w:spacing w:after="0" w:line="240" w:lineRule="auto"/>
        <w:jc w:val="both"/>
        <w:rPr>
          <w:rFonts w:asciiTheme="majorBidi" w:eastAsia="Times New Roman" w:hAnsiTheme="majorBidi" w:cstheme="majorBidi"/>
          <w:color w:val="2E2E2E"/>
          <w:sz w:val="24"/>
          <w:szCs w:val="24"/>
          <w:lang w:eastAsia="fr-FR"/>
        </w:rPr>
      </w:pPr>
      <w:r w:rsidRPr="00EB3B07">
        <w:rPr>
          <w:rFonts w:asciiTheme="majorBidi" w:eastAsia="Times New Roman" w:hAnsiTheme="majorBidi" w:cstheme="majorBidi"/>
          <w:color w:val="2E2E2E"/>
          <w:sz w:val="24"/>
          <w:szCs w:val="24"/>
          <w:lang w:eastAsia="fr-FR"/>
        </w:rPr>
        <w:t>- Selon une analyse classique, l'investissement est une</w:t>
      </w:r>
      <w:r w:rsidRPr="00EB3B07">
        <w:rPr>
          <w:rFonts w:asciiTheme="majorBidi" w:eastAsia="Times New Roman" w:hAnsiTheme="majorBidi" w:cstheme="majorBidi"/>
          <w:b/>
          <w:bCs/>
          <w:color w:val="2E2E2E"/>
          <w:sz w:val="24"/>
          <w:szCs w:val="24"/>
          <w:lang w:eastAsia="fr-FR"/>
        </w:rPr>
        <w:t> fonction décroissante du taux d'intérêt.</w:t>
      </w:r>
      <w:r w:rsidRPr="00EB3B07">
        <w:rPr>
          <w:rFonts w:asciiTheme="majorBidi" w:eastAsia="Times New Roman" w:hAnsiTheme="majorBidi" w:cstheme="majorBidi"/>
          <w:color w:val="2E2E2E"/>
          <w:sz w:val="24"/>
          <w:szCs w:val="24"/>
          <w:lang w:eastAsia="fr-FR"/>
        </w:rPr>
        <w:t> Autrement dit la baisse des taux d'intérêt favoriserait la décision d'investir. Comme l'épargne (S) est une fonction croissante du taux d'intérêt, les deux courbes s'ajustent avec des taux d'intérêt parfaitement flexibles. Quand le taux est trop bas, la demande de fonds prêtables (DFP) est plus forte que l'offre de fonds prêtables (OFP), quand il est trop haut c'est l'inverse. L'ajustement se fait entre DFP et OFP (loi de l'offre et de la demande), si bien qu'on a toujours S=I. C'est la</w:t>
      </w:r>
      <w:r w:rsidRPr="00EB3B07">
        <w:rPr>
          <w:rFonts w:asciiTheme="majorBidi" w:eastAsia="Times New Roman" w:hAnsiTheme="majorBidi" w:cstheme="majorBidi"/>
          <w:b/>
          <w:bCs/>
          <w:color w:val="2E2E2E"/>
          <w:sz w:val="24"/>
          <w:szCs w:val="24"/>
          <w:lang w:eastAsia="fr-FR"/>
        </w:rPr>
        <w:t> loi des débouchés de Say</w:t>
      </w:r>
      <w:r w:rsidRPr="00EB3B07">
        <w:rPr>
          <w:rFonts w:asciiTheme="majorBidi" w:eastAsia="Times New Roman" w:hAnsiTheme="majorBidi" w:cstheme="majorBidi"/>
          <w:color w:val="2E2E2E"/>
          <w:sz w:val="24"/>
          <w:szCs w:val="24"/>
          <w:lang w:eastAsia="fr-FR"/>
        </w:rPr>
        <w:t>.</w:t>
      </w:r>
      <w:r w:rsidRPr="00EB3B07">
        <w:rPr>
          <w:rFonts w:asciiTheme="majorBidi" w:eastAsia="Times New Roman" w:hAnsiTheme="majorBidi" w:cstheme="majorBidi"/>
          <w:color w:val="2E2E2E"/>
          <w:sz w:val="24"/>
          <w:szCs w:val="24"/>
          <w:lang w:eastAsia="fr-FR"/>
        </w:rPr>
        <w:br/>
        <w:t>- Selon </w:t>
      </w:r>
      <w:r w:rsidRPr="00EB3B07">
        <w:rPr>
          <w:rFonts w:asciiTheme="majorBidi" w:eastAsia="Times New Roman" w:hAnsiTheme="majorBidi" w:cstheme="majorBidi"/>
          <w:b/>
          <w:bCs/>
          <w:color w:val="2E2E2E"/>
          <w:sz w:val="24"/>
          <w:szCs w:val="24"/>
          <w:lang w:eastAsia="fr-FR"/>
        </w:rPr>
        <w:t>l'approche keynésienne</w:t>
      </w:r>
      <w:r w:rsidRPr="00EB3B07">
        <w:rPr>
          <w:rFonts w:asciiTheme="majorBidi" w:eastAsia="Times New Roman" w:hAnsiTheme="majorBidi" w:cstheme="majorBidi"/>
          <w:color w:val="2E2E2E"/>
          <w:sz w:val="24"/>
          <w:szCs w:val="24"/>
          <w:lang w:eastAsia="fr-FR"/>
        </w:rPr>
        <w:t>, I est bien (f) décroissante du taux d'intérêt mais S ne dépend pas du taux d'intérêt mais du revenu. Autrement dit, ici l'investissement dépendra de la demande et surtout des </w:t>
      </w:r>
      <w:r w:rsidRPr="00EB3B07">
        <w:rPr>
          <w:rFonts w:asciiTheme="majorBidi" w:eastAsia="Times New Roman" w:hAnsiTheme="majorBidi" w:cstheme="majorBidi"/>
          <w:b/>
          <w:bCs/>
          <w:color w:val="2E2E2E"/>
          <w:sz w:val="24"/>
          <w:szCs w:val="24"/>
          <w:lang w:eastAsia="fr-FR"/>
        </w:rPr>
        <w:t>anticipations</w:t>
      </w:r>
      <w:r w:rsidRPr="00EB3B07">
        <w:rPr>
          <w:rFonts w:asciiTheme="majorBidi" w:eastAsia="Times New Roman" w:hAnsiTheme="majorBidi" w:cstheme="majorBidi"/>
          <w:color w:val="2E2E2E"/>
          <w:sz w:val="24"/>
          <w:szCs w:val="24"/>
          <w:lang w:eastAsia="fr-FR"/>
        </w:rPr>
        <w:t xml:space="preserve"> que peuvent faire les </w:t>
      </w:r>
      <w:proofErr w:type="spellStart"/>
      <w:r w:rsidRPr="00EB3B07">
        <w:rPr>
          <w:rFonts w:asciiTheme="majorBidi" w:eastAsia="Times New Roman" w:hAnsiTheme="majorBidi" w:cstheme="majorBidi"/>
          <w:color w:val="2E2E2E"/>
          <w:sz w:val="24"/>
          <w:szCs w:val="24"/>
          <w:lang w:eastAsia="fr-FR"/>
        </w:rPr>
        <w:t>entrprises</w:t>
      </w:r>
      <w:proofErr w:type="spellEnd"/>
      <w:r w:rsidRPr="00EB3B07">
        <w:rPr>
          <w:rFonts w:asciiTheme="majorBidi" w:eastAsia="Times New Roman" w:hAnsiTheme="majorBidi" w:cstheme="majorBidi"/>
          <w:color w:val="2E2E2E"/>
          <w:sz w:val="24"/>
          <w:szCs w:val="24"/>
          <w:lang w:eastAsia="fr-FR"/>
        </w:rPr>
        <w:t xml:space="preserve"> sur celle-ci. Il y a là le </w:t>
      </w:r>
      <w:r w:rsidRPr="00EB3B07">
        <w:rPr>
          <w:rFonts w:asciiTheme="majorBidi" w:eastAsia="Times New Roman" w:hAnsiTheme="majorBidi" w:cstheme="majorBidi"/>
          <w:color w:val="2E2E2E"/>
          <w:sz w:val="24"/>
          <w:szCs w:val="24"/>
          <w:lang w:eastAsia="fr-FR"/>
        </w:rPr>
        <w:lastRenderedPageBreak/>
        <w:t>traditionnel déséquilibre keynésien. Dans cette optique, rien ne sert à favoriser l'investissement s'il n'y a pas de perspectives de demande! On est à l'opposé de la loi de Say qui dit que l'offre crée sa propre demande.</w:t>
      </w:r>
      <w:r w:rsidRPr="00EB3B07">
        <w:rPr>
          <w:rFonts w:asciiTheme="majorBidi" w:eastAsia="Times New Roman" w:hAnsiTheme="majorBidi" w:cstheme="majorBidi"/>
          <w:color w:val="2E2E2E"/>
          <w:sz w:val="24"/>
          <w:szCs w:val="24"/>
          <w:lang w:eastAsia="fr-FR"/>
        </w:rPr>
        <w:br/>
        <w:t>- Mais la « relance keynésienne » par des dépenses publiques (mais pas que!) pourra agir pour stimuler la demande globale. Voir effet </w:t>
      </w:r>
      <w:r w:rsidRPr="00EB3B07">
        <w:rPr>
          <w:rFonts w:asciiTheme="majorBidi" w:eastAsia="Times New Roman" w:hAnsiTheme="majorBidi" w:cstheme="majorBidi"/>
          <w:b/>
          <w:bCs/>
          <w:color w:val="2E2E2E"/>
          <w:sz w:val="24"/>
          <w:szCs w:val="24"/>
          <w:lang w:eastAsia="fr-FR"/>
        </w:rPr>
        <w:t>multiplicateur d'investissement</w:t>
      </w:r>
      <w:r w:rsidRPr="00EB3B07">
        <w:rPr>
          <w:rFonts w:asciiTheme="majorBidi" w:eastAsia="Times New Roman" w:hAnsiTheme="majorBidi" w:cstheme="majorBidi"/>
          <w:color w:val="2E2E2E"/>
          <w:sz w:val="24"/>
          <w:szCs w:val="24"/>
          <w:lang w:eastAsia="fr-FR"/>
        </w:rPr>
        <w:t>.</w:t>
      </w:r>
      <w:r w:rsidRPr="00EB3B07">
        <w:rPr>
          <w:rFonts w:asciiTheme="majorBidi" w:eastAsia="Times New Roman" w:hAnsiTheme="majorBidi" w:cstheme="majorBidi"/>
          <w:color w:val="2E2E2E"/>
          <w:sz w:val="24"/>
          <w:szCs w:val="24"/>
          <w:lang w:eastAsia="fr-FR"/>
        </w:rPr>
        <w:br/>
        <w:t xml:space="preserve"> Dernier point, la célèbre phrase de Schmidt, « les profits d'aujourd'hui sont les investissements de demain et les emplois d'après-demain », montre une logique d'entreprise exigeant un partage préalable de la valeur ajoutée au profit (c'est le cas de le dire) des entreprises. Sauf que rien n'oblige les entreprises à utiliser leurs bénéfices pour investir, si ce n'est par d'éventuelles incitations fiscales et, encore, des perspectives de demande</w:t>
      </w:r>
    </w:p>
    <w:p w:rsidR="00EB3B07" w:rsidRDefault="00EB3B07" w:rsidP="00EB3B07">
      <w:pPr>
        <w:jc w:val="right"/>
        <w:rPr>
          <w:rFonts w:asciiTheme="majorBidi" w:hAnsiTheme="majorBidi" w:cstheme="majorBidi"/>
          <w:color w:val="2E2E2E"/>
          <w:sz w:val="23"/>
          <w:szCs w:val="23"/>
          <w:shd w:val="clear" w:color="auto" w:fill="FFFFFF"/>
        </w:rPr>
      </w:pPr>
    </w:p>
    <w:p w:rsidR="00DE58C1" w:rsidRPr="00EB3B07" w:rsidRDefault="00EB3B07" w:rsidP="00EB3B07">
      <w:pPr>
        <w:jc w:val="right"/>
        <w:rPr>
          <w:rFonts w:asciiTheme="majorBidi" w:hAnsiTheme="majorBidi" w:cstheme="majorBidi"/>
          <w:sz w:val="24"/>
          <w:szCs w:val="24"/>
        </w:rPr>
      </w:pPr>
      <w:r w:rsidRPr="00EB3B07">
        <w:rPr>
          <w:rFonts w:asciiTheme="majorBidi" w:hAnsiTheme="majorBidi" w:cstheme="majorBidi"/>
          <w:color w:val="2E2E2E"/>
          <w:sz w:val="23"/>
          <w:szCs w:val="23"/>
          <w:shd w:val="clear" w:color="auto" w:fill="FFFFFF"/>
        </w:rPr>
        <w:t>J. Calatayud</w:t>
      </w:r>
    </w:p>
    <w:sectPr w:rsidR="00DE58C1" w:rsidRPr="00EB3B07" w:rsidSect="00DE58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7A047C"/>
    <w:multiLevelType w:val="hybridMultilevel"/>
    <w:tmpl w:val="78445BD0"/>
    <w:lvl w:ilvl="0" w:tplc="8E8873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07"/>
    <w:rsid w:val="000B07D0"/>
    <w:rsid w:val="0018655D"/>
    <w:rsid w:val="00775AC8"/>
    <w:rsid w:val="0083629E"/>
    <w:rsid w:val="008F20AA"/>
    <w:rsid w:val="00DE58C1"/>
    <w:rsid w:val="00DF73E8"/>
    <w:rsid w:val="00EB3B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FF07A-689F-4B04-A57E-0310387D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8C1"/>
  </w:style>
  <w:style w:type="paragraph" w:styleId="Titre2">
    <w:name w:val="heading 2"/>
    <w:basedOn w:val="Normal"/>
    <w:link w:val="Titre2Car"/>
    <w:uiPriority w:val="9"/>
    <w:qFormat/>
    <w:rsid w:val="00EB3B0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B3B0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B3B0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B3B07"/>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775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041082">
      <w:bodyDiv w:val="1"/>
      <w:marLeft w:val="0"/>
      <w:marRight w:val="0"/>
      <w:marTop w:val="0"/>
      <w:marBottom w:val="0"/>
      <w:divBdr>
        <w:top w:val="none" w:sz="0" w:space="0" w:color="auto"/>
        <w:left w:val="none" w:sz="0" w:space="0" w:color="auto"/>
        <w:bottom w:val="none" w:sz="0" w:space="0" w:color="auto"/>
        <w:right w:val="none" w:sz="0" w:space="0" w:color="auto"/>
      </w:divBdr>
      <w:divsChild>
        <w:div w:id="1483544905">
          <w:marLeft w:val="0"/>
          <w:marRight w:val="0"/>
          <w:marTop w:val="0"/>
          <w:marBottom w:val="0"/>
          <w:divBdr>
            <w:top w:val="none" w:sz="0" w:space="0" w:color="auto"/>
            <w:left w:val="none" w:sz="0" w:space="0" w:color="auto"/>
            <w:bottom w:val="none" w:sz="0" w:space="0" w:color="auto"/>
            <w:right w:val="none" w:sz="0" w:space="0" w:color="auto"/>
          </w:divBdr>
        </w:div>
        <w:div w:id="629438064">
          <w:marLeft w:val="0"/>
          <w:marRight w:val="0"/>
          <w:marTop w:val="0"/>
          <w:marBottom w:val="0"/>
          <w:divBdr>
            <w:top w:val="none" w:sz="0" w:space="0" w:color="auto"/>
            <w:left w:val="none" w:sz="0" w:space="0" w:color="auto"/>
            <w:bottom w:val="none" w:sz="0" w:space="0" w:color="auto"/>
            <w:right w:val="none" w:sz="0" w:space="0" w:color="auto"/>
          </w:divBdr>
        </w:div>
      </w:divsChild>
    </w:div>
    <w:div w:id="186686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3344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2020-03-20T09:27:00Z</dcterms:created>
  <dcterms:modified xsi:type="dcterms:W3CDTF">2020-03-20T09:27:00Z</dcterms:modified>
</cp:coreProperties>
</file>