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23" w:rsidRDefault="00D61F23" w:rsidP="00D61F2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9A3300"/>
          <w:sz w:val="24"/>
          <w:szCs w:val="24"/>
        </w:rPr>
        <w:t>BESOINS NUTRITIONELS</w:t>
      </w:r>
    </w:p>
    <w:p w:rsidR="00D61F23" w:rsidRDefault="00D61F23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 DÉFINITION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Les besoins en un nutriment donné ou en énergie correspondent à la quantité nécessaire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pour maintenir des fonctions physiologiques et un état de santé normaux et faire face à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certaines périodes de la vie telles que la croissance, la gestation, la lactation.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II APPORTS NUTRITIONNELS CONSEILLÉS (ANC)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Elle s’appuie sur la définition du besoin nutritionnel moyen, mesuré sur un groupe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d’individus, auquel sont ajoutés 2 écarts types représentant le plus souvent chacun 15%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la moyenne, marge de sécurité statistique pour prendre en compte la variabilité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interindividuelle et permettre de couvrir les besoins de la plus grande partie de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population, soit 97,5% des individus.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l’ANC</w:t>
      </w:r>
      <w:proofErr w:type="gramEnd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est choisi sur une base de 130% du besoin moyen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Les recommandations donnent des valeurs pour les principales catégories d'individus,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définies</w:t>
      </w:r>
      <w:proofErr w:type="gramEnd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en tenant compte de l'âge, du sexe, de l'activité physique.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Ces recommandations ne doivent pas être prises comme des normes à imposer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individuellement. Ce sont plutôt des références pour atteindre un bon état de nutrition qui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limiterait les carences, les déséquilibres ou les surcharges au sein d’une population donnée.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II.1 BESOINS ÉNERGÉTIQUES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Diverses composantes du besoin énergétique :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Dépenses énergétiques = Métabolisme de base + thermorégulation + action dynamique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spécifique + travail musculaire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●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métabolisme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de base : ~ 40kcal/m2/h (env. 1300-1600 kcal chez adulte) :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○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il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représente ~ 60% de la dépense énergétique journalière (DEJ) : 45% pour 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sujet très actif à 70% chez le sujet sédentaire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○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il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est corrélé à la masse maigre (MM) : masse biologiquement active (il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diminue donc lors de la dénutrition, avec l’âge, et est plus faible chez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femme que chez l’homme)</w:t>
      </w:r>
    </w:p>
    <w:p w:rsid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○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il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augmente lors d’une hyperthermie (10% de plus par degré supplémentaire)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et quand agression, activité physique, tabac, grossesse, hyperthyroïdie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●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thermogénèse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induite par l’alimentation (action dynamique spécifique ou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thermogénèse </w:t>
      </w:r>
      <w:proofErr w:type="spellStart"/>
      <w:r w:rsidRPr="00795758">
        <w:rPr>
          <w:rFonts w:asciiTheme="majorBidi" w:hAnsiTheme="majorBidi" w:cstheme="majorBidi"/>
          <w:color w:val="000000"/>
          <w:sz w:val="24"/>
          <w:szCs w:val="24"/>
        </w:rPr>
        <w:t>post-prandiale</w:t>
      </w:r>
      <w:proofErr w:type="spell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= absorption et assimilation des nutriments) : elle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diffère selon le type de substrat alimentaire et correspond environ à 8-10% de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dépense énergétique quotidienne (5-10% de l’énergie ingérée pour les glucides ; 0-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2% pour les lipides et 20-30% pour les protides)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●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thermorégulation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: coût du maintien de l’homéothermie (37°C)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lastRenderedPageBreak/>
        <w:t xml:space="preserve">●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exercice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musculaire / activité physique : dépenses variables en fonction du type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d’activité, du poids corporel, de la répétition et de la durée de l’exercice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Apports énergétiques conseillés :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Ce sont des valeurs repère pour des groupes de sujets et pas pour des individus.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Il existe des tables pour déterminer les ANC à partir du métabolisme de base,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correspondant à la dépense énergétique de repos (DER) obtenue à l’aide d’une équation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basée sur le poids, la taille, l’âge et le sexe, et en multipliant celle-ci par le Niveau d’Activité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Physique (NAP = 1.4, 1.6, 1.8, ou 2.0 quand l’activité physique est respectivement faible,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moyenne, forte, intense).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Ainsi la </w:t>
      </w: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dépense énergétique totale sur 24h (DET) = DER × NAP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. Mais, dans votre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pratique clinique, il est peu utile de chercher à quantifier précisément l’apport énergétique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d’un individu donné, et il est simplement nécessaire de situer ses besoins en fonction de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population à laquelle il appartient (</w:t>
      </w: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voir tableau ci-dessous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). La détermination précise du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bilan énergétique par calorimétrie relève du spécialiste.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Tableau 1 : DET pour un adulte entre 40 et 60 ans (selon sexe et activité physique)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Catégories Dépenses énergétiques/jour (kcal)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Adultes de sexe masculin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réduite 2200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habituelle 2500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importante 2900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très importante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3400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Adultes de sexe féminin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réduite 1800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habituelle 2000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importante 2300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Activité très importante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2400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Tableau 2 : Valeur énergétique des nutriments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Nutriments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kcal/g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Glucides 4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Protéines 4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Lipides 9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Ethanol 7</w:t>
      </w:r>
    </w:p>
    <w:p w:rsid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lastRenderedPageBreak/>
        <w:t>II.2 BESOINS HYDRIQUES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Besoins de base : 25 à 35 ml/kg/j chez adulte ; 1 litre / 1000 kcal ingérées</w:t>
      </w:r>
    </w:p>
    <w:p w:rsidR="00795758" w:rsidRPr="00795758" w:rsidRDefault="00795758" w:rsidP="0008310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● </w:t>
      </w: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Pertes normales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: 2500 ml [diurèse : 1000 </w:t>
      </w:r>
      <w:r w:rsidR="00083100">
        <w:rPr>
          <w:rFonts w:asciiTheme="majorBidi" w:hAnsiTheme="majorBidi" w:cstheme="majorBidi"/>
          <w:color w:val="000000"/>
          <w:sz w:val="24"/>
          <w:szCs w:val="24"/>
        </w:rPr>
        <w:t>à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1500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ml;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perspiration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(cutanée –pulmonaire) : 500-1000 ml ; digestives : 100 ml ]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eastAsia="OpenSymbol" w:hAnsiTheme="majorBidi" w:cstheme="majorBidi"/>
          <w:color w:val="000000"/>
          <w:sz w:val="24"/>
          <w:szCs w:val="24"/>
        </w:rPr>
        <w:t xml:space="preserve">● </w:t>
      </w: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Pertes pathologiques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: digestives ++ ; respiratoires ; cutanées (eau + sel) ; urinaires ;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thermiques (300 ml/degré&gt;37°C)</w:t>
      </w:r>
    </w:p>
    <w:p w:rsidR="00795758" w:rsidRPr="00795758" w:rsidRDefault="00795758" w:rsidP="00453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Apports hydriques habituels : eau endogène : 300 ml (réactions d’oxydation) ; aliments 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1000 ml ; boissons : 1200 ml ; quand anorexie, penser à compenser sur les boissons</w:t>
      </w:r>
      <w:r w:rsidR="004539F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(nutritives)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II.3 BESOINS EN PROTÉINES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ANC chez l’adulte : 0,8 g/kg/j de protéines de bonne qualité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10 - 12% de la ration énergétique globale quotidienne : 50% d’origine animale / 50%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d’origine végétale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Nécessité d’un apport calorique suffisant pour métaboliser les protéines = 180-200 kcal/j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par gramme d’azote.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II.4 BESOINS EN LIPIDES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ANC : 30 à 35% de la ration calorique (1/4 AGS, 1/2 AGMI, 1/4 AGPI)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Le ratio n-6/n-3 doit être proche de 5 (5 à 10 chez le </w:t>
      </w:r>
      <w:proofErr w:type="spellStart"/>
      <w:r w:rsidRPr="00795758">
        <w:rPr>
          <w:rFonts w:asciiTheme="majorBidi" w:hAnsiTheme="majorBidi" w:cstheme="majorBidi"/>
          <w:color w:val="000000"/>
          <w:sz w:val="24"/>
          <w:szCs w:val="24"/>
        </w:rPr>
        <w:t>nouveau né</w:t>
      </w:r>
      <w:proofErr w:type="spellEnd"/>
      <w:r w:rsidRPr="00795758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9A33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9A3300"/>
          <w:sz w:val="24"/>
          <w:szCs w:val="24"/>
        </w:rPr>
        <w:t>II.5 BESOINS EN GLUCIDES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Besoins minimum en glucides : 150g/jr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ANC : 50 à 55% de la ration calorique (1/5 de sucres simples)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ANC pour les Fibres : total de fibres 25 à 30g/j (dont 10-15g de fibres solubles)</w:t>
      </w:r>
    </w:p>
    <w:p w:rsid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La classification des aliments en groupes d’aliments en fonction de leur intérêt nutritionnel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>permet d’identifier plus facilement des profils alimentaires potentiellement inducteurs 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carences, et de donner des repères aux patients en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terme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de consommation des différents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aliments. 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>Les différents groupes d’aliments sont présentés ci-dessous :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GROUPE 1 : lait et produits laitiers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protéines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animales ,calcium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>, vitamines B 2 , A , D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GROUPE 2 : viandes, poissons, </w:t>
      </w:r>
      <w:r w:rsidR="00A45F40"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œufs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protéines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animales ,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fer , vitamines B 1 , B 2 , A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GROUPE 3 : corps gras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lipides ,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énergie , vitamines (A et D)</w:t>
      </w:r>
    </w:p>
    <w:p w:rsidR="00A45F40" w:rsidRDefault="00795758" w:rsidP="00A45F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GROUPE 4 : céréales et </w:t>
      </w:r>
      <w:proofErr w:type="spellStart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dérivés</w:t>
      </w:r>
      <w:proofErr w:type="gramStart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,pommes</w:t>
      </w:r>
      <w:proofErr w:type="spellEnd"/>
      <w:proofErr w:type="gramEnd"/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de terre,</w:t>
      </w:r>
      <w:r w:rsidR="00A45F4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légumes secs</w:t>
      </w:r>
      <w:r w:rsidR="00A45F40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</w:p>
    <w:p w:rsidR="00795758" w:rsidRPr="00795758" w:rsidRDefault="00795758" w:rsidP="00A45F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glucides ,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énergie , protéines végétales , fibres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GROUPE 5 : légumes frais, fruits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vitamine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C ,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minéraux , eau , fibres , glucides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GROUPE 6 : sucre et produits sucrés</w:t>
      </w:r>
    </w:p>
    <w:p w:rsidR="00795758" w:rsidRP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glucides </w:t>
      </w:r>
      <w:proofErr w:type="gramStart"/>
      <w:r w:rsidRPr="00795758">
        <w:rPr>
          <w:rFonts w:asciiTheme="majorBidi" w:hAnsiTheme="majorBidi" w:cstheme="majorBidi"/>
          <w:color w:val="000000"/>
          <w:sz w:val="24"/>
          <w:szCs w:val="24"/>
        </w:rPr>
        <w:t>simples ,</w:t>
      </w:r>
      <w:proofErr w:type="gramEnd"/>
      <w:r w:rsidRPr="00795758">
        <w:rPr>
          <w:rFonts w:asciiTheme="majorBidi" w:hAnsiTheme="majorBidi" w:cstheme="majorBidi"/>
          <w:color w:val="000000"/>
          <w:sz w:val="24"/>
          <w:szCs w:val="24"/>
        </w:rPr>
        <w:t xml:space="preserve"> énergie</w:t>
      </w:r>
    </w:p>
    <w:p w:rsidR="00795758" w:rsidRDefault="00795758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95758">
        <w:rPr>
          <w:rFonts w:asciiTheme="majorBidi" w:hAnsiTheme="majorBidi" w:cstheme="majorBidi"/>
          <w:b/>
          <w:bCs/>
          <w:color w:val="000000"/>
          <w:sz w:val="24"/>
          <w:szCs w:val="24"/>
        </w:rPr>
        <w:t>GROUPE 7 : boissons</w:t>
      </w: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C533D" w:rsidRPr="00795758" w:rsidRDefault="00CC533D" w:rsidP="007957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F435F" w:rsidRPr="0061677D" w:rsidRDefault="002F435F" w:rsidP="006167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D24E3" w:rsidRPr="0061677D" w:rsidRDefault="00A45F40" w:rsidP="00A45F40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color w:val="FF6600"/>
          <w:sz w:val="24"/>
          <w:szCs w:val="24"/>
        </w:rPr>
        <w:lastRenderedPageBreak/>
        <w:t>BESOINS NUTRITIONNELS PARTICULIERS</w:t>
      </w:r>
    </w:p>
    <w:p w:rsidR="00FD24E3" w:rsidRPr="00104F30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04F30">
        <w:rPr>
          <w:rFonts w:asciiTheme="majorBidi" w:hAnsiTheme="majorBidi" w:cstheme="majorBidi"/>
          <w:b/>
          <w:bCs/>
          <w:color w:val="000000"/>
          <w:sz w:val="28"/>
          <w:szCs w:val="28"/>
        </w:rPr>
        <w:t>Grossesse</w:t>
      </w:r>
    </w:p>
    <w:p w:rsidR="00FD24E3" w:rsidRPr="0061677D" w:rsidRDefault="00FD24E3" w:rsidP="00104F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grossesse est une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période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d'adaptation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métabolique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intense visant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maintenir l'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homéostasie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maternelle tout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 pourvoyant aux besoins quantitatifs et qualitatifs du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fœtus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L'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nutritionnel 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un impact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considérable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sur l'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évolution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 et sur le </w:t>
      </w:r>
      <w:r w:rsidR="00A45F4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développement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néonatal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définition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apports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nutritionnels optimaux reste un exercice difficile qu'ont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tente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resoudre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des recommandations divers </w:t>
      </w:r>
      <w:r w:rsidR="00104F3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comités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d'experts. Le </w:t>
      </w:r>
      <w:r w:rsidR="00104F3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débat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demeure quant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necessite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fournir </w:t>
      </w:r>
      <w:proofErr w:type="spellStart"/>
      <w:r w:rsidRPr="0061677D">
        <w:rPr>
          <w:rFonts w:asciiTheme="majorBidi" w:eastAsia="MinionPro-Regular" w:hAnsiTheme="majorBidi" w:cstheme="majorBidi"/>
          <w:sz w:val="24"/>
          <w:szCs w:val="24"/>
        </w:rPr>
        <w:t>systematiquement</w:t>
      </w:r>
      <w:proofErr w:type="spellEnd"/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des </w:t>
      </w:r>
      <w:r w:rsidR="00CC533D" w:rsidRPr="0061677D">
        <w:rPr>
          <w:rFonts w:asciiTheme="majorBidi" w:eastAsia="MinionPro-Regular" w:hAnsiTheme="majorBidi" w:cstheme="majorBidi"/>
          <w:sz w:val="24"/>
          <w:szCs w:val="24"/>
        </w:rPr>
        <w:t>suppléments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nutritionnels</w:t>
      </w:r>
      <w:r w:rsid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a une femme enceinte en bonne </w:t>
      </w:r>
      <w:r w:rsidR="00104F30" w:rsidRPr="0061677D">
        <w:rPr>
          <w:rFonts w:asciiTheme="majorBidi" w:eastAsia="MinionPro-Regular" w:hAnsiTheme="majorBidi" w:cstheme="majorBidi"/>
          <w:sz w:val="24"/>
          <w:szCs w:val="24"/>
        </w:rPr>
        <w:t>santé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, de la </w:t>
      </w:r>
      <w:r w:rsidR="00104F30" w:rsidRPr="0061677D">
        <w:rPr>
          <w:rFonts w:asciiTheme="majorBidi" w:eastAsia="MinionPro-Regular" w:hAnsiTheme="majorBidi" w:cstheme="majorBidi"/>
          <w:sz w:val="24"/>
          <w:szCs w:val="24"/>
        </w:rPr>
        <w:t>période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pr</w:t>
      </w:r>
      <w:r w:rsidR="00104F30">
        <w:rPr>
          <w:rFonts w:asciiTheme="majorBidi" w:eastAsia="MinionPro-Regular" w:hAnsiTheme="majorBidi" w:cstheme="majorBidi"/>
          <w:sz w:val="24"/>
          <w:szCs w:val="24"/>
        </w:rPr>
        <w:t>é-</w:t>
      </w:r>
      <w:proofErr w:type="spellStart"/>
      <w:r w:rsidRPr="0061677D">
        <w:rPr>
          <w:rFonts w:asciiTheme="majorBidi" w:eastAsia="MinionPro-Regular" w:hAnsiTheme="majorBidi" w:cstheme="majorBidi"/>
          <w:sz w:val="24"/>
          <w:szCs w:val="24"/>
        </w:rPr>
        <w:t>conceptionnelle</w:t>
      </w:r>
      <w:proofErr w:type="spellEnd"/>
      <w:r w:rsid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a l'allaitement. Les conseils nutritionnels</w:t>
      </w:r>
      <w:r w:rsid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sz w:val="24"/>
          <w:szCs w:val="24"/>
        </w:rPr>
        <w:t>dispenses</w:t>
      </w:r>
      <w:proofErr w:type="gramEnd"/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sz w:val="24"/>
          <w:szCs w:val="24"/>
        </w:rPr>
        <w:t>précocement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et tout au long de la grossesse augmentent</w:t>
      </w:r>
      <w:r w:rsid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les chances de bon </w:t>
      </w:r>
      <w:r w:rsidR="00CC533D" w:rsidRPr="0061677D">
        <w:rPr>
          <w:rFonts w:asciiTheme="majorBidi" w:eastAsia="MinionPro-Regular" w:hAnsiTheme="majorBidi" w:cstheme="majorBidi"/>
          <w:sz w:val="24"/>
          <w:szCs w:val="24"/>
        </w:rPr>
        <w:t>déroulement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de la grossesse et</w:t>
      </w:r>
      <w:r w:rsid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de la croissance </w:t>
      </w:r>
      <w:r w:rsidR="00104F30" w:rsidRPr="0061677D">
        <w:rPr>
          <w:rFonts w:asciiTheme="majorBidi" w:eastAsia="MinionPro-Regular" w:hAnsiTheme="majorBidi" w:cstheme="majorBidi"/>
          <w:sz w:val="24"/>
          <w:szCs w:val="24"/>
        </w:rPr>
        <w:t>fœtale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Adaptations métaboliques au cours de la grossesse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 grossesse a un cout quantitatif et qualitatif variable selon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stade. La </w:t>
      </w:r>
      <w:r w:rsidR="00104F3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première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04F3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moitié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 est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marquée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constitution des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maternelles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destinées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utilisées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durant la seconde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moitié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lors de la croissance 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fœtale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rapide. La mise en place progressive d'une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hyper insulinémie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favorise la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lipogenèse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le stockage des graisses durant le 1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  <w:vertAlign w:val="superscript"/>
        </w:rPr>
        <w:t>er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trimestre. Par la suite, un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insulinoresistance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périphérique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induit une lipolyse qui,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associée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une augmentation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production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hépatique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glucose, accroit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disponibilité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fuels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le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fœtus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D'autres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mécanismes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facilitent le stockage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maternel. Le bilan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azote net devient positif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 2e trimestre de la gestation.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L'augmentation des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d'absorption intestinales pour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divers micronutriments (fer, calcium)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protège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déperdition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excessive lors du transfert actif vers l'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unité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foetoplacentaire</w:t>
      </w:r>
      <w:proofErr w:type="spellEnd"/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acides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aminés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mineraux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des vitamines.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Ces adaptations auxquelles participent les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secrétions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hormonales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placentaires (hormone </w:t>
      </w:r>
      <w:r w:rsidR="00AB71A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lactogène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placentaire,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oestro</w:t>
      </w:r>
      <w:proofErr w:type="spellEnd"/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>-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progestatifs,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etc.) supposent des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disponibilités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optimales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afin d'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eviter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variations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inappropriées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chez la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un retard de croissance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intra-uterin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une plus grande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morbi-mortalite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perinatale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Les transferts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foetomaternaux</w:t>
      </w:r>
      <w:proofErr w:type="spellEnd"/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sont modulables et font l'objet d'un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controle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Le statut en fer,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calcium et en vitamine A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nouveau-nes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dans une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certaine mesure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independant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celui de leur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[2].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Énergétique de la grossesse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cout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 est estime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75 000 kcal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dont 15 000 sont lies a la croissance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Il en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résulte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nécessaire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adaptation des apports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faire face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cette charge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supplémentaire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L'accroissement lie aux besoins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propres 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tient au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>développement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masse grasse,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 l'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uterus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des glandes mammaires et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majoration de la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dépense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maternelle qui se traduit par une augmentation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du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repos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24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  <w:vertAlign w:val="superscript"/>
        </w:rPr>
        <w:t>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semaine pour atteindre 20 % durant le dernier mois. A elle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seule, cette augmentation de la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dépense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représente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45 % du cout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théorique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total de la grossesse.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enquêtes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consommation alimentaire indiquent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que la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quantité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consommée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bien moindre que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cout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théorique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grossesse. Cette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différence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témoigne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d'une adaptation physiologique au cours de la grossesse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permettant une meilleure utilisation de 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disponible.</w:t>
      </w:r>
    </w:p>
    <w:p w:rsidR="00FD24E3" w:rsidRPr="0061677D" w:rsidRDefault="00FD24E3" w:rsidP="000221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Il existe de plus une grande amplitude de variation du cout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femme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l'autre qui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dépend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partie du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niveau de la masse grasse et du gain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La prise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un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paramètre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essentiel du suivi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grossesse. Excessive, elle est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associée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 risque de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macrosomie qui est responsable de complications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obstétricales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 d'une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morbidité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neonatale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Elle favorise aussi le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maintien d'un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exces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poids durant le post-partum et peut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contribuer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l'installation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obesite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ulterieure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Une prise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insuffisante est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associée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– surtout durant le 3e trimestre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–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 risque de retard de croissance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intra-utérin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prématurité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morbi-mortalite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néonatale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a une plus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grande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prévalence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ultérieure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syndrome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obésité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chez l'enfant. La prise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souhaitable au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cours de la grossesse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depend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une large part du poids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initial </w:t>
      </w:r>
      <w:r w:rsidR="00022144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proofErr w:type="gramEnd"/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Ces fourchettes de gain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majorer en cas de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gemellaire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tenir compte de la masse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supplémentaire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 tissus fonctionnels. Chez les femmes de petite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taille, les objectifs se situent dans la zone basse de l'intervalle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alors que, chez les adolescentes, la cible se situe dans la zone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élevée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fourchette.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apports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assures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des macronutriments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dans des proportions qui ont fait l'objet de recommandations.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Bien qu'il n'existe pas de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données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factuelles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précises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l'effet de la teneur en lipides du </w:t>
      </w:r>
      <w:r w:rsidR="00022144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régime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que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études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portent davantage sur la composition en acides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gras, la teneur lipidique de la ration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devrait se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situer autour de 30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35 % alors que celle des glucides devrait</w:t>
      </w:r>
    </w:p>
    <w:p w:rsidR="00FD24E3" w:rsidRPr="0061677D" w:rsidRDefault="00CC533D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proofErr w:type="gramEnd"/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 moins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égale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55 %. Les besoins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protéiques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dont la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finalite</w:t>
      </w:r>
      <w:proofErr w:type="spellEnd"/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moins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que plastique et trophique,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sont largement couverts par l'alimentation usuelle et sont de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l'ordre de 1 g/kg/j soit 15 % de la ration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même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si les besoins estimes sont conditionnes par une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déposition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forte hausse tout au long de la grossesse (0,7 g/j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pendant le 1er trimestre et plus de 5 g/j au 3e trimestre).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L'augmentation des apports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augmentation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spontanée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apports en nutriments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Elle ne </w:t>
      </w:r>
      <w:r w:rsidR="00CC533D">
        <w:rPr>
          <w:rFonts w:asciiTheme="majorBidi" w:eastAsia="MinionPro-Regular" w:hAnsiTheme="majorBidi" w:cstheme="majorBidi"/>
          <w:color w:val="000000"/>
          <w:sz w:val="24"/>
          <w:szCs w:val="24"/>
        </w:rPr>
        <w:t>nécessite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pas de manipulations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diététiques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tant que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 xml:space="preserve">le gain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pondéral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en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adéquation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avec 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objectifs. </w:t>
      </w:r>
      <w:r w:rsidRPr="0061677D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>In fine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ce sont les glucides qui doivent couvrir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l'essentiel des besoins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supplémentaires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Sous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adaptation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fondee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l'IMC initial et d'un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équilibre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alimentaire correct, l'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appétit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suffit pour guider la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couverture des besoins quantitatifs.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FF6600"/>
          <w:sz w:val="24"/>
          <w:szCs w:val="24"/>
        </w:rPr>
        <w:t>Besoins qualitatifs</w:t>
      </w:r>
    </w:p>
    <w:p w:rsidR="00FD24E3" w:rsidRPr="0061677D" w:rsidRDefault="00FD24E3" w:rsidP="00F0187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effets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délétères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carences nutritionnelles maternelles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phase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</w:t>
      </w:r>
      <w:r w:rsidR="00CC533D">
        <w:rPr>
          <w:rFonts w:asciiTheme="majorBidi" w:eastAsia="MinionPro-Regular" w:hAnsiTheme="majorBidi" w:cstheme="majorBidi"/>
          <w:color w:val="000000"/>
          <w:sz w:val="24"/>
          <w:szCs w:val="24"/>
        </w:rPr>
        <w:t>-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conceptionnelle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bien document</w:t>
      </w:r>
      <w:r w:rsidR="00F0187F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s. Il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s'agit habituellement de carences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sévères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observées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situations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caractérisées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: contexte social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défavorable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contexte pathologique avec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dénutrition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(troubles digestifs,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régimes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carences), comportements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risque (alcoolisme,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tabagisme important, toxicomanie). Les carences mineures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observées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lors d'une alimentation de type occidental ont peu</w:t>
      </w:r>
      <w:r w:rsid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d'effets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délétères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la croissance et la maturation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Fer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contenu en fer d'un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nouveau-né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d'environ 300 mg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alors que les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fer sont de 500 mg chez l'adulte.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besoins totaux de la grossesse sont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estimés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850 mg.</w:t>
      </w:r>
    </w:p>
    <w:p w:rsidR="00FD24E3" w:rsidRPr="0061677D" w:rsidRDefault="00FD24E3" w:rsidP="00174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Ces quelques chiffres posent l'essentiel du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problème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 fer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au cours de la grossesse. L'apport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supplémentaire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globalement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400 mg ce qui fait passer les ANC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20 mg/j pendant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 grossesse contre 10 mg en dehors de la grossesse avec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pic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30 mg/j au 3e trimestre. En fait, l'impact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carence maternelle est limit</w:t>
      </w:r>
      <w:r w:rsidR="00174143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parce que le </w:t>
      </w:r>
      <w:r w:rsidR="00F0187F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fœtus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constitue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stock martial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indépendamment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174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L'augmentation des besoins est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palliée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l'importante augmentation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d'absorption intestinale du fer au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cours de la grossesse portant aussi bien sur le fer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heminique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que le fer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minéral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Cette adaptation physiologique permet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faire face aux besoins qui atteignent 5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6 mg/j en fin de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grossesse. La couverture des besoins est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une alimentation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équilibrée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la condition que la ration alimentaire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atteigne au moins 2000 kcal/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j </w:t>
      </w:r>
      <w:r w:rsidR="00174143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proofErr w:type="gramEnd"/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carence martiale chez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sont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dominées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fatigabilité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susceptibilité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aux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infections. Les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minimes, le statut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fer du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fœtus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n'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d'ailleurs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guère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améliore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martiale chez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Aussi n'y a-t-il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aucune justification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systématique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fer au cours de la grossesse. La seule indication est la mise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évidence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ferriprive ou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hypoferritinemie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franche chez 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Une revue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systématique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>Cochrane</w:t>
      </w:r>
      <w:r w:rsidR="00B148D8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indique que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martiale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justifiée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présence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effective d'une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était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associée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 taux significativement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plus faible de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décès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 xml:space="preserve">in utero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ou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néonatal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convulsions qu'en cas de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systématique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proofErr w:type="spellStart"/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lastRenderedPageBreak/>
        <w:t>Folates</w:t>
      </w:r>
      <w:proofErr w:type="spellEnd"/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L'acide folique ou vitamine B9 participe au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acides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aminés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des acides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nucleiques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Il contribue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 multiplication cellulaire de l'embryon, a l'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hématopoïèse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croissance globale du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fœtus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La baisse des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sériques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quasi constante au cours de la grossesse.</w:t>
      </w:r>
    </w:p>
    <w:p w:rsidR="00FD24E3" w:rsidRPr="0061677D" w:rsidRDefault="00FD24E3" w:rsidP="001741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partie due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hémodilution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elle est aussi secondaire 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modifications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liées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la grossesse. Elle est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favorisee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une consommation insuffisante puisqu'elle est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estimée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300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/j pour des besoins fixes a 400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/j durant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 </w:t>
      </w:r>
      <w:r w:rsidR="00174143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carence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des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répercussions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bien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établies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le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développement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Elle accroit le risque de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malformations du tube neural (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encephalocele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anencephalie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 spina bifida), de fentes labiales et d'anomalies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extremites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l'origine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diminution globale des malformations du tube neural (environ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50 %). Les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l'issue de la grossesse sont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encore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discutées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mais il semble que la carence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pourrait expliquer un certain nombre de naissances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prématurées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L'incidence de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prématurité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réduite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fortes doses (5 g/j) chez les femmes dont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l'alimentation est pauvre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acide folique a aussi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associée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diminution de l'incidence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 malformations cardiaques.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preconisee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phase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preconceptionnelle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puisqu'un tiers des femmes en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procréer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ont des taux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érythrocytaires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abaisses.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effet, le simple conseil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dietetique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visant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augmenter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consommation de fruits et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legumes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insuffisant pour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majorer les apports de l'ensemble des femmes. Par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defaut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systematique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100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200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/j est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recommandee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periode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periconceptionnelle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En France,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il 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recommande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prescrire 5 mg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folates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/j chez les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femmes ayant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antecedents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obstetricaux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d'anomalies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fermeture du tube neural ou prenant un traitement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anticomitial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individuelle de 4 mg/j 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instaurer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 moins 1 mois avant la conception chez les femmes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haut risque et pendant le 1er trimestre de la grossesse. Par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suite, une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2 mg/j peut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proposée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Iode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L'importance de l'iode, substrat incontournable 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synthese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hormones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est due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l'action primordiale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hormones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tout au long de la vie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croissance et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developpement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notamment neurologique.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Les besoins en iode sont majores du fait d'une augmentation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physiologique de la clairance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renale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l'iode chez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du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transfert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transplacentaire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l'iode et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sequestration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 xml:space="preserve">l'iode par accroissement du </w:t>
      </w:r>
      <w:r w:rsidRPr="0061677D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 xml:space="preserve">pool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hormonal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(augmentation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synthese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proteines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vectrices des hormones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du catabolisme hormonal par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deiodase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placentaire).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besoins sont estimes a 200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/j au cours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grossesse, alors que les apports moyens sont en 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France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l'ordre de 80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100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/j. Il en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resulte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hyperplasie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thyroidienne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partiellement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reversible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 et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hypothyroxinemie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relative qui peut avoir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effets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nefastes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chez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foetus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qui est totalement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dependant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apports hormonaux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jusqu’à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12e semaine. Chez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foetus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dont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tres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sensible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carence en iode, un goitre peut survenir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16e semaine. Une carence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avec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hypothyroidie</w:t>
      </w:r>
      <w:proofErr w:type="spellEnd"/>
    </w:p>
    <w:p w:rsidR="00FD24E3" w:rsidRPr="0061677D" w:rsidRDefault="00FD24E3" w:rsidP="009143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fruste durant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premiere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moitie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 serait responsable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d'une diminution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intellectuelles chez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enfants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l'age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4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7 ans parce que l'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hypothyroxinemie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maternelle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precoce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semble conditionner des anomalies du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developpement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psychomoteur des enfants. Les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alterations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neurocognitives sont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prevenues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une correction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fonction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thyroidienne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chez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Un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deficit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iode marque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est associe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augmentation des avortements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spontanes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mortalite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perinatale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de l'hypotrophie a la naissance et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hypothyroidie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natale </w:t>
      </w:r>
      <w:r w:rsidR="009143D8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carence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profonde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eradiquee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Europe depuis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siecle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responsable d'une atteinte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severe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developpement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psychomoteur conduisant au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cretinisme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endemique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chez l'enfant. Chez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la carence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favorise l'apparition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d'un goitre et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hyperthyroidie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 consommation d'aliments naturellement iodes ne suffit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pas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satisfaire les besoins pendant la grossesse.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Au-dela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necessite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corriger les carences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severes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il semble souhaitable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pour beaucoup de proposer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systematique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l'augmentation de la consommation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 sel iode n'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etant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evidemment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pas une solution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realiste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L'administration de comprimes d'iodure de potassium (100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200 </w:t>
      </w:r>
      <w:proofErr w:type="spellStart"/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>μ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/j) permettrait de pallier les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inconvenients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subcarence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Quelques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etudes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controlees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contre placebo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ne sont cependant pas totalement probantes et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suggerent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pour ce micronutriment comme pour d'autres, un fort pouvoir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d'adaptation de la femme enceinte, en l'occurrence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thyroide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maternelle, a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disponibilite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substrat [7]. Dans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immediat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l'application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iodee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systematique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France reste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subordonnee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son approbation par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consensus d'experts bien qu'elle soit d'ores et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deja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preconisee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par de nombreux professionnels [8].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Calcium et vitamine D</w:t>
      </w:r>
    </w:p>
    <w:p w:rsidR="00FD24E3" w:rsidRPr="0061677D" w:rsidRDefault="00FD24E3" w:rsidP="009143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minéralisation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 squelette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fœtal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augmente en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théorie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les besoins calciques maternels. Cet accroissement est globalement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couvert par l'augmentation de l'absorption intestinale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 calcium et son impact est limite par une adaptation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du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osseux. L'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accrétion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osseuse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>maternelle est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majoree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 cours du 1re trimestre, ce qui permet de fournir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ultérieurement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foetus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 flux calcique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consequent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partir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mobilisation de ces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Néanmoins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grossesses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174143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répétées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un allaitement prolonge peuvent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l'origine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demineralisation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osseuse qui n'est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reversible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qu'avec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apport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vitamino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-calcique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consequent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Le calcium contribue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au bon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deroulement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independamment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son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role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osseux ainsi que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suggerent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etudes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epidemiologiques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 des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etudes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randomisees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effectuees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des populations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risque en diminuant l'incidence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pre-eclampsie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Il existerait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egalement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diminutionde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l'incidence de l'HTA gravidique, mais aucun lien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causalite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n'a pu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demontre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9143D8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Concretement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trois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quatre portions de lait et produits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laitiers doivent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consommees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jour afin d'assurer un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apport calcique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superieur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1 g/j. Il est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interessant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noter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l'existence d'une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correlation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entre la teneur en calcium laitier et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quantite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d'apports calciques durant la grossesse. Il n'y a pas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lieu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preconiser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calcique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systematique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Une diminution de la concentration plasmatique de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 25-hydroxy-vitamine D3 n'est pas rare chez la femme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enceinte surtout lorsque la fin de la grossesse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coincide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avec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l'hiver. Le faible niveau d'ensoleillement et la faible teneur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aliments en vitamine D justifient des mesures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systematique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France. Il existe une relation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entre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deficit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maternel en vitamine D et la survenue d'une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hypocalcemie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neonatale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ou d'un rachitisme carentiel. Les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apports recommandes sont de 400 UI/j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debut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grossesse, de 1000 UI/j durant la seconde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moitie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grossesse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ou de 100 000 UI en prise unique au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debut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 7e mois.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Cette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derniere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modalite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primordiale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 cas de faible exposition au soleil.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Acides gras riches en oméga 3</w:t>
      </w:r>
    </w:p>
    <w:p w:rsidR="00FD24E3" w:rsidRPr="0061677D" w:rsidRDefault="00FD24E3" w:rsidP="009822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AG n-3 pourraient jouer un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rôle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prévention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pre-eclampsie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 la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prématurité</w:t>
      </w:r>
      <w:bookmarkStart w:id="0" w:name="_GoBack"/>
      <w:bookmarkEnd w:id="0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mais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meta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-analyse des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C533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études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supplementation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durant la grossesse n'a pas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montre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benefice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sur le risque de retard de croissance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intra-uterin</w:t>
      </w:r>
      <w:proofErr w:type="spellEnd"/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ou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pre-eclampsie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alors que l'incidence de la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prématurité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est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réduite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La consommation de poisson et l'utilisation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d'huile de colza ou de noix sont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recommandées.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Vitamines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alimentation suffisante et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diversifiée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pourvoit </w:t>
      </w:r>
      <w:r w:rsidRPr="0061677D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>a priori</w:t>
      </w:r>
      <w:r w:rsidR="00B148D8">
        <w:rPr>
          <w:rFonts w:asciiTheme="majorBidi" w:eastAsia="MinionPro-Regular" w:hAnsiTheme="majorBidi" w:cstheme="majorBidi"/>
          <w:i/>
          <w:iCs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 l'ensemble des besoins (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l'exception de la vitamine D). La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vitamine A </w:t>
      </w:r>
      <w:proofErr w:type="spellStart"/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mérite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mention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particulière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la mesure</w:t>
      </w:r>
    </w:p>
    <w:p w:rsidR="00FD24E3" w:rsidRPr="0061677D" w:rsidRDefault="00FD24E3" w:rsidP="00B148D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ou elle intervient dans la division et la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différenciation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dans la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régulation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l'expression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genes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En France, il</w:t>
      </w:r>
      <w:r w:rsidR="00DA2761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n'y a pas lieu d'envisager de </w:t>
      </w:r>
      <w:r w:rsidR="00982299" w:rsidRPr="0061677D">
        <w:rPr>
          <w:rFonts w:asciiTheme="majorBidi" w:eastAsia="MinionPro-Regular" w:hAnsiTheme="majorBidi" w:cstheme="majorBidi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d'autant</w:t>
      </w:r>
      <w:r w:rsidR="00B148D8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que les apports excessifs en vitamine A risquent d'</w:t>
      </w:r>
      <w:r w:rsidR="00DA2761" w:rsidRPr="0061677D">
        <w:rPr>
          <w:rFonts w:asciiTheme="majorBidi" w:eastAsia="MinionPro-Regular" w:hAnsiTheme="majorBidi" w:cstheme="majorBidi"/>
          <w:sz w:val="24"/>
          <w:szCs w:val="24"/>
        </w:rPr>
        <w:t>être</w:t>
      </w:r>
      <w:r w:rsidR="00B148D8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sz w:val="24"/>
          <w:szCs w:val="24"/>
        </w:rPr>
        <w:t>tératogènes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. Il n'y a pas non plus place pour des solutions</w:t>
      </w:r>
    </w:p>
    <w:p w:rsidR="00FD24E3" w:rsidRDefault="00DA2761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sz w:val="24"/>
          <w:szCs w:val="24"/>
        </w:rPr>
        <w:t>poly vitaminées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>.</w:t>
      </w: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D42D00" w:rsidRDefault="00D42D00" w:rsidP="0061677D">
      <w:pPr>
        <w:spacing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</w:p>
    <w:p w:rsidR="00FD24E3" w:rsidRPr="006C4D4A" w:rsidRDefault="00FD24E3" w:rsidP="006C4D4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4D4A">
        <w:rPr>
          <w:rFonts w:asciiTheme="majorBidi" w:hAnsiTheme="majorBidi" w:cstheme="majorBidi"/>
          <w:b/>
          <w:bCs/>
          <w:color w:val="000000"/>
          <w:sz w:val="28"/>
          <w:szCs w:val="28"/>
        </w:rPr>
        <w:t>Nutrition des personnes âgées</w:t>
      </w:r>
    </w:p>
    <w:p w:rsidR="00FD24E3" w:rsidRPr="0061677D" w:rsidRDefault="00FD24E3" w:rsidP="006C4D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vieillissement,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phénomène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physiologique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inéluctable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B148D8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s'accompagne de modifications nutritionnelles significatives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qui justifient une adaptation des apports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indépendamment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 toute pathologie. Les compartiments corporels sont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modifiés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avec une masse maigre qui diminue et un tissu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adipeux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</w:t>
      </w:r>
      <w:r w:rsidR="006C4D4A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ri vis</w:t>
      </w:r>
      <w:r w:rsidR="006C4D4A">
        <w:rPr>
          <w:rFonts w:asciiTheme="majorBidi" w:eastAsia="MinionPro-Regular" w:hAnsiTheme="majorBidi" w:cstheme="majorBidi"/>
          <w:color w:val="000000"/>
          <w:sz w:val="24"/>
          <w:szCs w:val="24"/>
        </w:rPr>
        <w:t>c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éral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qui tend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augmenter aux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graisse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sous-cutanée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Les besoins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diminuent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concomitamment avec la ration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traduisant la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diminution du nombre des cellules et des structures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impliquées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dans les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9C737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>Les enjeux sont de maintenir des apports adaptes aux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besoins, de maintenir une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fonctionnalité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des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évitant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que la survenue d'une maladie ne 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précipite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la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malnutrition et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sarcopenie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Vieillissement nutritionnel</w:t>
      </w:r>
    </w:p>
    <w:p w:rsidR="00FD24E3" w:rsidRPr="0061677D" w:rsidRDefault="00FD24E3" w:rsidP="005A6A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 comportement alimentaire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dépend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une part de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</w:t>
      </w:r>
      <w:r w:rsidR="006C4D4A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élan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vital, du statut socioculturel et de la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disponibilité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alimentaire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 pour une autre part du statut sensoriel.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diminution de la perception sensorielle avec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l’âge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–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perception et discrimination des odeurs, seuil de perception du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gout et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analyser les saveurs – a pour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diminution de l'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appétit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qui peut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contournée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une adaptation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</w:t>
      </w:r>
      <w:r w:rsidR="00584362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recettes.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Il existe de surcroit une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dysr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gulation</w:t>
      </w:r>
      <w:proofErr w:type="spellEnd"/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 l'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appétit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qui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empêche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d'adapter les apports aux variations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des besoins. Les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d'adaptation alimentaire diminuent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progressivement avec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l’âge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A court terme, il existe un retard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mise en place des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mécanismes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satiation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précoce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A long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terme, les sujets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</w:t>
      </w:r>
      <w:r w:rsidR="005A6A8E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répondent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façon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inadéquate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période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restriction calorique ou d'alimentation excessive du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fait d'une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altération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autorégulation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prise alimentaire.</w:t>
      </w:r>
    </w:p>
    <w:p w:rsidR="00FD24E3" w:rsidRPr="0061677D" w:rsidRDefault="00FD24E3" w:rsidP="005A6A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 processus de la digestion est fragilis</w:t>
      </w:r>
      <w:r w:rsidR="005A6A8E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une diminution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 la vidange gastrique et par une diminution des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secrétions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digestives avec une moindre performance de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l'absorption qui est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retardée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10740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altérés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Un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insulino</w:t>
      </w:r>
      <w:proofErr w:type="spellEnd"/>
      <w:r w:rsidR="005A6A8E">
        <w:rPr>
          <w:rFonts w:asciiTheme="majorBidi" w:eastAsia="MinionPro-Regular" w:hAnsiTheme="majorBidi" w:cstheme="majorBidi"/>
          <w:color w:val="000000"/>
          <w:sz w:val="24"/>
          <w:szCs w:val="24"/>
        </w:rPr>
        <w:t>-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</w:t>
      </w:r>
      <w:r w:rsidR="005A6A8E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sistance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principalement li</w:t>
      </w:r>
      <w:r w:rsidR="006D7EB0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aux modifications du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schéma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corporel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s'installe peu </w:t>
      </w:r>
      <w:r w:rsidR="009143D8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peu. L'anabolisme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réduit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en raison d'une moindre stimulation au niveau musculaire,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sarcopenie</w:t>
      </w:r>
      <w:proofErr w:type="spellEnd"/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diminution de la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dépense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5A6A8E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corrélée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celle de la masse musculaire.</w:t>
      </w:r>
    </w:p>
    <w:p w:rsidR="00FD24E3" w:rsidRDefault="00FD24E3" w:rsidP="006D7E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Paradoxalement,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effort comparable, les besoins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 sujet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</w:t>
      </w:r>
      <w:r w:rsidR="006D7EB0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supérieurs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ceux de l'adulte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jeune (</w:t>
      </w:r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 xml:space="preserve">+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20 %). Contrairement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opinion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répandue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besoins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diminuent peu chez le sujet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âgé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mais leur augmentation nette en cas d'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activité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physique ou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d'agression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n'est pas toujours suffisamment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compensée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les apports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spontanés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ce qui les expose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risque de malnutrition.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Fragilité nutritionnelle</w:t>
      </w:r>
    </w:p>
    <w:p w:rsidR="00FD24E3" w:rsidRPr="0061677D" w:rsidRDefault="00FD24E3" w:rsidP="006D7E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dehors des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méfaits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pathologies chroniques ou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aigues intercurrentes, le statut nutritionnel du sujet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âgé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est menac</w:t>
      </w:r>
      <w:r w:rsidR="006D7EB0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de nombreuses circonstances que la vie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moderne accentue parfois. L'isolement, les revenus insuffisants,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l'insuffisance d'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équipement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ménager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les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difficultés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d'approvisionnement, le handicap physique, la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poly médication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réduction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capacité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mastication sont des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causes classiques dont les associations, le portage des repas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 domicile et l'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amélioration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l'offre de soins s'efforcent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atténuer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conséquences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A cet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se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développent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croyances et des tabous alimentaires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injustifiés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une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propension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appliquer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 xml:space="preserve">des </w:t>
      </w:r>
      <w:r w:rsidR="008E5096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régimes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dont l'un des plus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inadéquats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le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régime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≪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sans sel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≫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La diminution de la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sensation de soif contribue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fragilisation nutritionnelle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 favorise l'anorexie.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Besoins nutritionnels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besoins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personnes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bonne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santé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comparables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ceux de l'adulte. Ce n'est pas parce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qu'une personne vieillit qu'elle doit manger moins. Les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apports nutritionnels conseilles sont estimes a 36 kcal/kg/j et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 1 g/kg/j de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chez la personne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bonne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santé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C'est le prix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payer pour sauvegarder la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compétence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immunitaire et la masse musculaire. Une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en micronutriments peut </w:t>
      </w:r>
      <w:r w:rsidR="006D7EB0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utile chez les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personnes les plus fragiles mais il n'existe pas d'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études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d'intervention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probante. En l'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état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il convient de veiller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ce que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ces personnes fragiles disposent d'apports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équivalents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aux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Sujets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âgés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bonne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santé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hAnsiTheme="majorBidi" w:cstheme="majorBidi"/>
          <w:b/>
          <w:bCs/>
          <w:color w:val="FF6600"/>
          <w:sz w:val="24"/>
          <w:szCs w:val="24"/>
        </w:rPr>
        <w:t>Cible nutritionnelle</w:t>
      </w:r>
    </w:p>
    <w:p w:rsidR="00FD24E3" w:rsidRPr="0061677D" w:rsidRDefault="00FD24E3" w:rsidP="009C737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Au-dela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l'aspect quantitatif et qualitatif de nutriments,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l'alimentation est un acte social, convivial et de plaisir. Les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conditions environnementales sont donc essentielles.</w:t>
      </w:r>
    </w:p>
    <w:p w:rsidR="00FD24E3" w:rsidRPr="0061677D" w:rsidRDefault="00FD24E3" w:rsidP="009C737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chasse aux interdits, aux tabous et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monotonie alimentaire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procède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information nutritionnelle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éclairée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lutte contre la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sarcopenie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associe un apport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suffisant et, surtout, le maintien d'une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activité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physique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régulière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adaptée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La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prévention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ost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op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nie</w:t>
      </w:r>
      <w:proofErr w:type="spellEnd"/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 de l'</w:t>
      </w:r>
      <w:r w:rsidR="00F607A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ostéoporose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dépend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 apport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calcique et vitaminique D (au besoin </w:t>
      </w:r>
      <w:r w:rsidR="00F607A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l'aide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d'une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) et, surtout, d'une activit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physique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significative.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bilan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diététique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nutritionnel annuel devrait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effectu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médecin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traitant afin de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dépister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les erreurs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alimentaires et de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remédier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aux entraves a une alimentation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satisfaisante (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hygiène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dentaire et corporelle, lutte contre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sédentarité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contre d'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éventuels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excès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…, alcool, tabac,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automédication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).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prévention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dénutrition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doit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instituée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cas de maladie aigue incidente ou d'intervention chirurgicale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pour contrer les effets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délétères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hyper catabolisme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qui accompagne toute agression et expose a un risque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accru de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dénutrition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milieu hospitalier. Le surcroit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d'apport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peut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nécessiter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prescription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compléments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nutritifs oraux chez ces sujets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volontiers anorexiques et adynamiques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phase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aigüe</w:t>
      </w:r>
      <w:r w:rsidR="009C737B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d'une maladie.</w:t>
      </w: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42D00" w:rsidRDefault="00D42D00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D24E3" w:rsidRPr="00EA0517" w:rsidRDefault="00FD24E3" w:rsidP="00EA051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0517">
        <w:rPr>
          <w:rFonts w:asciiTheme="majorBidi" w:hAnsiTheme="majorBidi" w:cstheme="majorBidi"/>
          <w:b/>
          <w:bCs/>
          <w:sz w:val="28"/>
          <w:szCs w:val="28"/>
        </w:rPr>
        <w:t>Alimentation du sportif</w:t>
      </w:r>
    </w:p>
    <w:p w:rsidR="00FD24E3" w:rsidRPr="0061677D" w:rsidRDefault="00FD24E3" w:rsidP="00FF70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Souvent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perçue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par le sportif comme un facteur de performance,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l'alimentation est avant tout une composante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importante de l'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hygiène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de vie, assurant la meilleure forme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possible. La connaissance de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règles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diététiques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simples visant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à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éviter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des erreurs et des contre-performances ne signifie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pas que l'alimentation du sportif est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spécifique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en dehors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de situations d'exception ou elle doit satisfaire des besoins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physiologiques particuliers. La pratique sportive habituelle</w:t>
      </w:r>
    </w:p>
    <w:p w:rsidR="00FD24E3" w:rsidRPr="0061677D" w:rsidRDefault="00EA0517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sz w:val="24"/>
          <w:szCs w:val="24"/>
        </w:rPr>
        <w:t>N’impose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 xml:space="preserve"> pas de modification fondamentale aux principes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>de l'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équilibr</w:t>
      </w:r>
      <w:r>
        <w:rPr>
          <w:rFonts w:asciiTheme="majorBidi" w:eastAsia="MinionPro-Regular" w:hAnsiTheme="majorBidi" w:cstheme="majorBidi"/>
          <w:sz w:val="24"/>
          <w:szCs w:val="24"/>
        </w:rPr>
        <w:t>e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 xml:space="preserve"> alimentaire. Globalement, les apports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énergétiques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>adapt</w:t>
      </w:r>
      <w:r>
        <w:rPr>
          <w:rFonts w:asciiTheme="majorBidi" w:eastAsia="MinionPro-Regular" w:hAnsiTheme="majorBidi" w:cstheme="majorBidi"/>
          <w:sz w:val="24"/>
          <w:szCs w:val="24"/>
        </w:rPr>
        <w:t>é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 xml:space="preserve">s au niveau des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dépenses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 xml:space="preserve"> sont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apportés</w:t>
      </w:r>
      <w:r w:rsidR="00FD24E3" w:rsidRPr="0061677D">
        <w:rPr>
          <w:rFonts w:asciiTheme="majorBidi" w:eastAsia="MinionPro-Regular" w:hAnsiTheme="majorBidi" w:cstheme="majorBidi"/>
          <w:sz w:val="24"/>
          <w:szCs w:val="24"/>
        </w:rPr>
        <w:t xml:space="preserve"> par une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sz w:val="24"/>
          <w:szCs w:val="24"/>
        </w:rPr>
        <w:lastRenderedPageBreak/>
        <w:t>alimentation</w:t>
      </w:r>
      <w:proofErr w:type="gramEnd"/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équilibrée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et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diversifiée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sous forme de repas et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de collations en majorant l'apport glucidique. Les besoins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en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, en vitamines et en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minéraux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sont satisfaits par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l'augmentation des apports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énergétiques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>. Le recours aux</w:t>
      </w:r>
      <w:r w:rsidR="00FF706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compléments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alimentaires ou </w:t>
      </w:r>
      <w:proofErr w:type="spellStart"/>
      <w:r w:rsidRPr="0061677D">
        <w:rPr>
          <w:rFonts w:asciiTheme="majorBidi" w:eastAsia="MinionPro-Regular" w:hAnsiTheme="majorBidi" w:cstheme="majorBidi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des aliments </w:t>
      </w:r>
      <w:r w:rsidR="00EA0517" w:rsidRPr="0061677D">
        <w:rPr>
          <w:rFonts w:asciiTheme="majorBidi" w:eastAsia="MinionPro-Regular" w:hAnsiTheme="majorBidi" w:cstheme="majorBidi"/>
          <w:sz w:val="24"/>
          <w:szCs w:val="24"/>
        </w:rPr>
        <w:t>spécifiques</w:t>
      </w:r>
      <w:r w:rsidRPr="0061677D">
        <w:rPr>
          <w:rFonts w:asciiTheme="majorBidi" w:eastAsia="MinionPro-Regular" w:hAnsiTheme="majorBidi" w:cstheme="majorBidi"/>
          <w:sz w:val="24"/>
          <w:szCs w:val="24"/>
        </w:rPr>
        <w:t xml:space="preserve"> ne</w:t>
      </w:r>
      <w:r w:rsidR="00EA0517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se justifie pas autrement que par des croyances, la recherche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d'effets psychologiques (potion magique) ou parce qu'ils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sont une alternative au dopage.</w:t>
      </w:r>
    </w:p>
    <w:p w:rsidR="00FD24E3" w:rsidRPr="0061677D" w:rsidRDefault="00FD24E3" w:rsidP="00EA05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L'objectif est d'obtenir un niveau de forme optimal et de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favoriser la performance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grâce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 poids optimal, d'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éviter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toute carence, d'assurer les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substrat ainsi qu'une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remin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ralisation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une hydratation anticipatoire lors des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longue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d'optimiser la restauration des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</w:t>
      </w:r>
      <w:r w:rsidR="00EA0517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="00EA0517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FF66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FF6600"/>
          <w:sz w:val="24"/>
          <w:szCs w:val="24"/>
        </w:rPr>
        <w:t>Nutriments</w:t>
      </w:r>
    </w:p>
    <w:p w:rsidR="00FD24E3" w:rsidRPr="0061677D" w:rsidRDefault="00FD24E3" w:rsidP="000D797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Par consensus, il est admis que les personnes physiquement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actives n'ont pas besoin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compléments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nutritifs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additionnels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au-dela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ceux apport</w:t>
      </w:r>
      <w:r w:rsidR="000D797C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 par une alimentation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équilibrée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Quelques nuances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complètent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cette assertion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notamment pour les sports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risque nutritionnel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Glucides</w:t>
      </w:r>
    </w:p>
    <w:p w:rsidR="00FD24E3" w:rsidRPr="0061677D" w:rsidRDefault="00FD24E3" w:rsidP="000D797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glucides sont le substrat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l'effort. Ils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permettent de remplacer le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musculaire et de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maintenir dans les normes la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stockes sous forme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Ils constituent au moins 55 % de la ration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jusqu'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70 % dans les sports d'endurance. Le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D797C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musculaire est utilis</w:t>
      </w:r>
      <w:r w:rsidR="000D797C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localement sans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possibilite</w:t>
      </w:r>
      <w:proofErr w:type="spellEnd"/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resynthese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durant l'effort. Son </w:t>
      </w:r>
      <w:r w:rsidR="000D797C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puisement induit une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fatigue locale. Le </w:t>
      </w:r>
      <w:r w:rsidR="000D797C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D797C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hépatique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totalement utilisable,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 pour but de maintenir la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Son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épuisement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est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l'origine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hypoglycémie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La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totalité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stocks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assure 3 heures d'effort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70 % de la VO2 max. Il est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d'usage d'augmenter la part des glucides durant les 3 jours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qui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précèdent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compétition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obtenir un taux maximum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musculaire lors de l'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Il s'agit de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glucides a index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glycémique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bas ou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intermédiaire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sauf pendant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longue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ou il est fait appel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</w:t>
      </w:r>
    </w:p>
    <w:p w:rsidR="00FD24E3" w:rsidRPr="0061677D" w:rsidRDefault="00FD24E3" w:rsidP="00DB52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glucides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index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élevé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(solution de glucose, de saccharose,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maltodextrine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polyglucose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ou de fructose).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Lipides</w:t>
      </w:r>
    </w:p>
    <w:p w:rsidR="00FD24E3" w:rsidRPr="0061677D" w:rsidRDefault="00FD24E3" w:rsidP="00DB52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Les apports conseilles sont de l'ordre de 20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30 % de la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ration dans les sports d'endurance. Leur consommation est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déconseillée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juste avant, pendant et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compétition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FD24E3" w:rsidRPr="0061677D" w:rsidRDefault="00FD24E3" w:rsidP="00DB52F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Ils contribuent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façon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significative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l'apport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lors de la phase d'entrainement et apportent des acides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gras essentiels et des vitamines liposolubles. L'oxydation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lipidique couvre deux tiers des besoins de base. En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début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d'exercice, elle permet d'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épargner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réserves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glycogène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puis elle prend une part de plus en plus importante et remplace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peu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peu les substrats glucidiques mais ne permet pas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un effort aussi intense.</w:t>
      </w:r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lastRenderedPageBreak/>
        <w:t>Besoins en protéines</w:t>
      </w:r>
    </w:p>
    <w:p w:rsidR="00FD24E3" w:rsidRPr="0061677D" w:rsidRDefault="00FD24E3" w:rsidP="000D797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activité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physique soutenue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détermine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déperdition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microlésions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musculaires et a une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oxydation lors des entrainements ou des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compétitions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longue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Il est donc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nécessaire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favoriser la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synthèse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musculaire (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accrétion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) pour obtenir un bilan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protéique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positif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après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l'exercice. Si les apports nutritionnels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conseill</w:t>
      </w:r>
      <w:r w:rsidR="000D797C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 en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satisfont aux besoins d'une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activité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physique de loisir ou occasionnelle, il convient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privilégier</w:t>
      </w:r>
    </w:p>
    <w:p w:rsidR="00FD24E3" w:rsidRPr="0061677D" w:rsidRDefault="00FD24E3" w:rsidP="000D797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les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haute valeur biologique et d'augmenter les</w:t>
      </w:r>
      <w:r w:rsidR="00DB52F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ANC (</w:t>
      </w:r>
      <w:r w:rsidRPr="0061677D">
        <w:rPr>
          <w:rFonts w:asciiTheme="majorBidi" w:eastAsia="STIXGeneral-Regular" w:hAnsiTheme="majorBidi" w:cstheme="majorBidi"/>
          <w:color w:val="000000"/>
          <w:sz w:val="24"/>
          <w:szCs w:val="24"/>
        </w:rPr>
        <w:t xml:space="preserve">×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1,5 a 2) chez les sportifs de haut niveau en utilisant des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alimentaires ou des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poudres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Ces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dernières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peuvent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être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administrées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en prises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espacées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lorsqu'il s'agit de </w:t>
      </w:r>
      <w:r w:rsidR="00CA073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≪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lentes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≫</w:t>
      </w:r>
      <w:r w:rsidR="00AB71A7">
        <w:rPr>
          <w:rFonts w:ascii="Cambria Math" w:eastAsia="MinionPro-Regular" w:hAnsi="Cambria Math" w:cs="Cambria Math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(par analogie avec les glucides lents et rapides) comme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la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caséine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ou en prises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rapprochées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les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protéines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≪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rapides </w:t>
      </w:r>
      <w:r w:rsidRPr="0061677D">
        <w:rPr>
          <w:rFonts w:ascii="Cambria Math" w:eastAsia="MinionPro-Regular" w:hAnsi="Cambria Math" w:cs="Cambria Math"/>
          <w:color w:val="000000"/>
          <w:sz w:val="24"/>
          <w:szCs w:val="24"/>
        </w:rPr>
        <w:t>≫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comme le </w:t>
      </w:r>
      <w:proofErr w:type="gramStart"/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lactosérum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0D797C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proofErr w:type="gramEnd"/>
    </w:p>
    <w:p w:rsidR="00FD24E3" w:rsidRPr="0061677D" w:rsidRDefault="00FD24E3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 xml:space="preserve">Besoins </w:t>
      </w:r>
      <w:proofErr w:type="spellStart"/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hydroélectrolytiques</w:t>
      </w:r>
      <w:proofErr w:type="spellEnd"/>
    </w:p>
    <w:p w:rsidR="00FD24E3" w:rsidRPr="0061677D" w:rsidRDefault="00FD24E3" w:rsidP="009822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Le remplacement anticipe des pertes liquidiennes lors de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l'effort contribue </w:t>
      </w:r>
      <w:proofErr w:type="spellStart"/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préserver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performance. La soif est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un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critère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d'alerte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médiocre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la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déshydratation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survient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trop tardivement. Une hydratation correcte permet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maintenir un poids quasi constant lors d'une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sportive. Elle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prévient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survenue d'un coup de chaleur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 diminue le risque de crampes musculaires. Avant une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 il est souhaitable d'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ingérer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une boisson de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façon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fractionnée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(300–500 ml en 2 heures) surtout si les conditions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climatiques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prédisposent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la sudation. Pendant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la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quantité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d'eau est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ajustée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perte d'eau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prévisible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et peut aller jusqu'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1,5 l/h lorsque 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activité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dépasse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1 heure.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Au-dela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d'une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3 heures, les besoins sont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l'ordre de 0,5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1 l/h. Apres l'exercice, il convient de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restaurer rapidement le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déficit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hydrique en apportant une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quantité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boisson compensant 150 % de la perte de poids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constatée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durant </w:t>
      </w: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982299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  <w:proofErr w:type="gramEnd"/>
    </w:p>
    <w:p w:rsidR="0061677D" w:rsidRPr="0061677D" w:rsidRDefault="00FD24E3" w:rsidP="00AB71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L'adjonction de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NaCl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a la boisson limite la diminution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du volume plasmatique durant l'exercice et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prévient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survenue d'une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hyponatrémie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les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longue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durée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Le sodium est l'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électrolyte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le plus important du fait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son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excrétion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dans la sueur (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NaCl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20 a 60 </w:t>
      </w:r>
      <w:proofErr w:type="spell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mmol</w:t>
      </w:r>
      <w:proofErr w:type="spell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/l). Un</w:t>
      </w:r>
      <w:r w:rsidR="00DA2761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complément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1 </w:t>
      </w:r>
      <w:proofErr w:type="spellStart"/>
      <w:proofErr w:type="gramStart"/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</w:t>
      </w:r>
      <w:proofErr w:type="spellEnd"/>
      <w:proofErr w:type="gramEnd"/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1,5 g de </w:t>
      </w:r>
      <w:proofErr w:type="spellStart"/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NaCl</w:t>
      </w:r>
      <w:proofErr w:type="spellEnd"/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par litre de boisson est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conseillé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durant ce type d'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épreuve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lors de la phase de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récupération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évitant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la prise de sel sous forme de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dragées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ou de </w:t>
      </w:r>
      <w:r w:rsidR="00DA2761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gélules</w:t>
      </w:r>
      <w:r w:rsidR="0061677D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</w:t>
      </w:r>
    </w:p>
    <w:p w:rsidR="0061677D" w:rsidRPr="0061677D" w:rsidRDefault="0061677D" w:rsidP="0061677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b/>
          <w:bCs/>
          <w:color w:val="5A5A5A"/>
          <w:sz w:val="24"/>
          <w:szCs w:val="24"/>
        </w:rPr>
        <w:t>Micronutriments</w:t>
      </w:r>
    </w:p>
    <w:p w:rsidR="0061677D" w:rsidRPr="0061677D" w:rsidRDefault="0061677D" w:rsidP="009822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color w:val="000000"/>
          <w:sz w:val="24"/>
          <w:szCs w:val="24"/>
        </w:rPr>
      </w:pP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nombreuses vitamines et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oligoéléments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sont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impliqués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dans le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métabolisme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énergétique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. Leurs besoins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augmentent au prorata de l'effort, notamment pour les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vitamines B. Les micronutriments sont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également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impliqu</w:t>
      </w:r>
      <w:r w:rsidR="00982299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dans la protection cellulaire et la lutte contre le stress</w:t>
      </w:r>
    </w:p>
    <w:p w:rsidR="00FD24E3" w:rsidRPr="0061677D" w:rsidRDefault="0061677D" w:rsidP="0098229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oxydant</w:t>
      </w:r>
      <w:proofErr w:type="gramEnd"/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. Leur couverture suppose une alimentation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variée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,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voire une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supplémentation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en vitamine B, en fer, en calcium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et en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magnésium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selon le type d'alimentation. Une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bonne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hygiène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lastRenderedPageBreak/>
        <w:t xml:space="preserve">de vie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prévient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pour une part les carences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vitaminiques : sevrage tabagique pour la vitamine C, faible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consommation de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café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et de th</w:t>
      </w:r>
      <w:r w:rsidR="00982299">
        <w:rPr>
          <w:rFonts w:asciiTheme="majorBidi" w:eastAsia="MinionPro-Regular" w:hAnsiTheme="majorBidi" w:cstheme="majorBidi"/>
          <w:color w:val="000000"/>
          <w:sz w:val="24"/>
          <w:szCs w:val="24"/>
        </w:rPr>
        <w:t>é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(absorption des vitamines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A, B, B12 et du fer) et abstraction de boissons alcooliques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(vitamines B et C). La consommation en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quantités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suffisantes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de produits laitiers, de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légumes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secs et verts, de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céréales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, de viandes et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éventuellement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de boissons de l'effort</w:t>
      </w:r>
      <w:r w:rsidR="00AB71A7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</w:t>
      </w:r>
      <w:r w:rsidR="00982299"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>évite</w:t>
      </w:r>
      <w:r w:rsidRPr="0061677D">
        <w:rPr>
          <w:rFonts w:asciiTheme="majorBidi" w:eastAsia="MinionPro-Regular" w:hAnsiTheme="majorBidi" w:cstheme="majorBidi"/>
          <w:color w:val="000000"/>
          <w:sz w:val="24"/>
          <w:szCs w:val="24"/>
        </w:rPr>
        <w:t xml:space="preserve"> toute carence.</w:t>
      </w:r>
    </w:p>
    <w:p w:rsidR="00FD24E3" w:rsidRPr="00FD24E3" w:rsidRDefault="00FD24E3" w:rsidP="00FD24E3">
      <w:pPr>
        <w:rPr>
          <w:rFonts w:asciiTheme="majorBidi" w:hAnsiTheme="majorBidi" w:cstheme="majorBidi"/>
          <w:sz w:val="24"/>
          <w:szCs w:val="24"/>
        </w:rPr>
      </w:pPr>
    </w:p>
    <w:p w:rsidR="00FD24E3" w:rsidRPr="00FD24E3" w:rsidRDefault="00FD24E3" w:rsidP="00FD24E3">
      <w:pPr>
        <w:rPr>
          <w:rFonts w:asciiTheme="majorBidi" w:hAnsiTheme="majorBidi" w:cstheme="majorBidi"/>
          <w:sz w:val="24"/>
          <w:szCs w:val="24"/>
        </w:rPr>
      </w:pPr>
    </w:p>
    <w:p w:rsidR="00FD24E3" w:rsidRPr="00FD24E3" w:rsidRDefault="00FD24E3" w:rsidP="00FD24E3">
      <w:pPr>
        <w:rPr>
          <w:rFonts w:asciiTheme="majorBidi" w:hAnsiTheme="majorBidi" w:cstheme="majorBidi"/>
          <w:sz w:val="24"/>
          <w:szCs w:val="24"/>
        </w:rPr>
      </w:pPr>
    </w:p>
    <w:p w:rsidR="00FD24E3" w:rsidRDefault="00FD24E3" w:rsidP="00FD24E3">
      <w:pPr>
        <w:rPr>
          <w:rFonts w:asciiTheme="majorBidi" w:hAnsiTheme="majorBidi" w:cstheme="majorBidi"/>
          <w:sz w:val="24"/>
          <w:szCs w:val="24"/>
        </w:rPr>
      </w:pPr>
    </w:p>
    <w:p w:rsidR="00FD24E3" w:rsidRPr="00FD24E3" w:rsidRDefault="00FD24E3" w:rsidP="00FD24E3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FD24E3" w:rsidRPr="00FD24E3" w:rsidSect="00CC533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96" w:rsidRDefault="00D37D96" w:rsidP="00CC533D">
      <w:pPr>
        <w:spacing w:after="0" w:line="240" w:lineRule="auto"/>
      </w:pPr>
      <w:r>
        <w:separator/>
      </w:r>
    </w:p>
  </w:endnote>
  <w:endnote w:type="continuationSeparator" w:id="0">
    <w:p w:rsidR="00D37D96" w:rsidRDefault="00D37D96" w:rsidP="00CC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IXGeneral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3D" w:rsidRDefault="00CC533D" w:rsidP="00CC533D">
    <w:pPr>
      <w:pStyle w:val="Pieddepage"/>
    </w:pPr>
    <w:r>
      <w:t>1</w:t>
    </w:r>
  </w:p>
  <w:p w:rsidR="00CC533D" w:rsidRDefault="00CC53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96" w:rsidRDefault="00D37D96" w:rsidP="00CC533D">
      <w:pPr>
        <w:spacing w:after="0" w:line="240" w:lineRule="auto"/>
      </w:pPr>
      <w:r>
        <w:separator/>
      </w:r>
    </w:p>
  </w:footnote>
  <w:footnote w:type="continuationSeparator" w:id="0">
    <w:p w:rsidR="00D37D96" w:rsidRDefault="00D37D96" w:rsidP="00CC5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58"/>
    <w:rsid w:val="00022144"/>
    <w:rsid w:val="00083100"/>
    <w:rsid w:val="000D797C"/>
    <w:rsid w:val="000F5734"/>
    <w:rsid w:val="00104F30"/>
    <w:rsid w:val="00107402"/>
    <w:rsid w:val="00174143"/>
    <w:rsid w:val="002F3938"/>
    <w:rsid w:val="002F435F"/>
    <w:rsid w:val="004539F2"/>
    <w:rsid w:val="0047612A"/>
    <w:rsid w:val="004E1CDF"/>
    <w:rsid w:val="00584362"/>
    <w:rsid w:val="005A6A8E"/>
    <w:rsid w:val="0061677D"/>
    <w:rsid w:val="006428D6"/>
    <w:rsid w:val="006C4D4A"/>
    <w:rsid w:val="006D7EB0"/>
    <w:rsid w:val="00725F5C"/>
    <w:rsid w:val="00795758"/>
    <w:rsid w:val="007E3C63"/>
    <w:rsid w:val="008E5096"/>
    <w:rsid w:val="009143D8"/>
    <w:rsid w:val="00982299"/>
    <w:rsid w:val="009C737B"/>
    <w:rsid w:val="00A45F40"/>
    <w:rsid w:val="00AB71A7"/>
    <w:rsid w:val="00AE3E30"/>
    <w:rsid w:val="00B148D8"/>
    <w:rsid w:val="00CA0739"/>
    <w:rsid w:val="00CC533D"/>
    <w:rsid w:val="00D37D96"/>
    <w:rsid w:val="00D42D00"/>
    <w:rsid w:val="00D61F23"/>
    <w:rsid w:val="00DA2761"/>
    <w:rsid w:val="00DB52F7"/>
    <w:rsid w:val="00EA0517"/>
    <w:rsid w:val="00F0187F"/>
    <w:rsid w:val="00F607A9"/>
    <w:rsid w:val="00FD24E3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7483-F935-47E9-BC78-9ED89D9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33D"/>
  </w:style>
  <w:style w:type="paragraph" w:styleId="Pieddepage">
    <w:name w:val="footer"/>
    <w:basedOn w:val="Normal"/>
    <w:link w:val="PieddepageCar"/>
    <w:uiPriority w:val="99"/>
    <w:unhideWhenUsed/>
    <w:rsid w:val="00CC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17</Pages>
  <Words>5394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2019-04-16T17:20:00Z</dcterms:created>
  <dcterms:modified xsi:type="dcterms:W3CDTF">2020-03-25T21:58:00Z</dcterms:modified>
</cp:coreProperties>
</file>