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31" w:rsidRPr="006A3F31" w:rsidRDefault="006A3F31" w:rsidP="006A3F31">
      <w:pPr>
        <w:autoSpaceDE w:val="0"/>
        <w:autoSpaceDN w:val="0"/>
        <w:adjustRightInd w:val="0"/>
        <w:spacing w:after="0" w:line="360" w:lineRule="auto"/>
        <w:rPr>
          <w:rFonts w:asciiTheme="majorBidi" w:hAnsiTheme="majorBidi" w:cstheme="majorBidi"/>
          <w:b/>
          <w:bCs/>
          <w:color w:val="FF00FF"/>
          <w:sz w:val="24"/>
          <w:szCs w:val="24"/>
          <w:lang w:val="fr-FR" w:bidi="ar-SA"/>
        </w:rPr>
      </w:pPr>
      <w:r w:rsidRPr="006A3F31">
        <w:rPr>
          <w:rFonts w:asciiTheme="majorBidi" w:hAnsiTheme="majorBidi" w:cstheme="majorBidi"/>
          <w:b/>
          <w:bCs/>
          <w:color w:val="FF00FF"/>
          <w:sz w:val="24"/>
          <w:szCs w:val="24"/>
          <w:lang w:val="fr-FR" w:bidi="ar-SA"/>
        </w:rPr>
        <w:t>IV.Résidus de pesticides dans l’alimentation</w:t>
      </w:r>
    </w:p>
    <w:p w:rsidR="006A3F31" w:rsidRDefault="006A3F31" w:rsidP="006A3F31">
      <w:pPr>
        <w:autoSpaceDE w:val="0"/>
        <w:autoSpaceDN w:val="0"/>
        <w:adjustRightInd w:val="0"/>
        <w:spacing w:after="0" w:line="360" w:lineRule="auto"/>
        <w:jc w:val="left"/>
        <w:rPr>
          <w:rFonts w:asciiTheme="majorBidi" w:eastAsia="Times New Roman" w:hAnsiTheme="majorBidi" w:cstheme="majorBidi"/>
          <w:color w:val="252525"/>
          <w:sz w:val="24"/>
          <w:szCs w:val="24"/>
          <w:lang w:val="fr-FR" w:eastAsia="fr-FR" w:bidi="ar-SA"/>
        </w:rPr>
      </w:pPr>
      <w:r w:rsidRPr="00D847CF">
        <w:rPr>
          <w:rFonts w:asciiTheme="majorBidi" w:eastAsia="Times New Roman" w:hAnsiTheme="majorBidi" w:cstheme="majorBidi"/>
          <w:color w:val="252525"/>
          <w:sz w:val="24"/>
          <w:szCs w:val="24"/>
          <w:lang w:val="fr-FR" w:eastAsia="fr-FR" w:bidi="ar-SA"/>
        </w:rPr>
        <w:t>Les </w:t>
      </w:r>
      <w:r w:rsidRPr="003606D1">
        <w:rPr>
          <w:rFonts w:asciiTheme="majorBidi" w:eastAsia="Times New Roman" w:hAnsiTheme="majorBidi" w:cstheme="majorBidi"/>
          <w:color w:val="252525"/>
          <w:sz w:val="24"/>
          <w:szCs w:val="24"/>
          <w:lang w:val="fr-FR" w:eastAsia="fr-FR" w:bidi="ar-SA"/>
        </w:rPr>
        <w:t>résidus de pesticides</w:t>
      </w:r>
      <w:r w:rsidRPr="00D847CF">
        <w:rPr>
          <w:rFonts w:asciiTheme="majorBidi" w:eastAsia="Times New Roman" w:hAnsiTheme="majorBidi" w:cstheme="majorBidi"/>
          <w:color w:val="252525"/>
          <w:sz w:val="24"/>
          <w:szCs w:val="24"/>
          <w:lang w:val="fr-FR" w:eastAsia="fr-FR" w:bidi="ar-SA"/>
        </w:rPr>
        <w:t> </w:t>
      </w:r>
      <w:r w:rsidRPr="00D847CF">
        <w:rPr>
          <w:rFonts w:asciiTheme="majorBidi" w:eastAsia="Times New Roman" w:hAnsiTheme="majorBidi" w:cstheme="majorBidi"/>
          <w:sz w:val="24"/>
          <w:szCs w:val="24"/>
          <w:lang w:val="fr-FR" w:eastAsia="fr-FR" w:bidi="ar-SA"/>
        </w:rPr>
        <w:t>sont des </w:t>
      </w:r>
      <w:hyperlink r:id="rId7" w:tooltip="Substance chimique" w:history="1">
        <w:r w:rsidRPr="00D847CF">
          <w:rPr>
            <w:rFonts w:asciiTheme="majorBidi" w:eastAsia="Times New Roman" w:hAnsiTheme="majorBidi" w:cstheme="majorBidi"/>
            <w:sz w:val="24"/>
            <w:szCs w:val="24"/>
            <w:lang w:val="fr-FR" w:eastAsia="fr-FR" w:bidi="ar-SA"/>
          </w:rPr>
          <w:t>substances chimiques</w:t>
        </w:r>
      </w:hyperlink>
      <w:r w:rsidRPr="00D847CF">
        <w:rPr>
          <w:rFonts w:asciiTheme="majorBidi" w:eastAsia="Times New Roman" w:hAnsiTheme="majorBidi" w:cstheme="majorBidi"/>
          <w:sz w:val="24"/>
          <w:szCs w:val="24"/>
          <w:lang w:val="fr-FR" w:eastAsia="fr-FR" w:bidi="ar-SA"/>
        </w:rPr>
        <w:t>, ou des mélanges de substances, présentant des risques de </w:t>
      </w:r>
      <w:hyperlink r:id="rId8" w:tooltip="Toxicité" w:history="1">
        <w:r w:rsidRPr="00D847CF">
          <w:rPr>
            <w:rFonts w:asciiTheme="majorBidi" w:eastAsia="Times New Roman" w:hAnsiTheme="majorBidi" w:cstheme="majorBidi"/>
            <w:sz w:val="24"/>
            <w:szCs w:val="24"/>
            <w:lang w:val="fr-FR" w:eastAsia="fr-FR" w:bidi="ar-SA"/>
          </w:rPr>
          <w:t>toxicité</w:t>
        </w:r>
      </w:hyperlink>
      <w:r w:rsidRPr="00D847CF">
        <w:rPr>
          <w:rFonts w:asciiTheme="majorBidi" w:eastAsia="Times New Roman" w:hAnsiTheme="majorBidi" w:cstheme="majorBidi"/>
          <w:sz w:val="24"/>
          <w:szCs w:val="24"/>
          <w:lang w:val="fr-FR" w:eastAsia="fr-FR" w:bidi="ar-SA"/>
        </w:rPr>
        <w:t>, qui peuvent rester dans les </w:t>
      </w:r>
      <w:hyperlink r:id="rId9" w:tooltip="Aliment" w:history="1">
        <w:r w:rsidRPr="00D847CF">
          <w:rPr>
            <w:rFonts w:asciiTheme="majorBidi" w:eastAsia="Times New Roman" w:hAnsiTheme="majorBidi" w:cstheme="majorBidi"/>
            <w:sz w:val="24"/>
            <w:szCs w:val="24"/>
            <w:lang w:val="fr-FR" w:eastAsia="fr-FR" w:bidi="ar-SA"/>
          </w:rPr>
          <w:t>aliments</w:t>
        </w:r>
      </w:hyperlink>
      <w:r w:rsidRPr="00D847CF">
        <w:rPr>
          <w:rFonts w:asciiTheme="majorBidi" w:eastAsia="Times New Roman" w:hAnsiTheme="majorBidi" w:cstheme="majorBidi"/>
          <w:sz w:val="24"/>
          <w:szCs w:val="24"/>
          <w:lang w:val="fr-FR" w:eastAsia="fr-FR" w:bidi="ar-SA"/>
        </w:rPr>
        <w:t> destinés à l'homme ou aux animaux par suite de traitements </w:t>
      </w:r>
      <w:hyperlink r:id="rId10" w:tooltip="Phytosanitaire" w:history="1">
        <w:r w:rsidRPr="00D847CF">
          <w:rPr>
            <w:rFonts w:asciiTheme="majorBidi" w:eastAsia="Times New Roman" w:hAnsiTheme="majorBidi" w:cstheme="majorBidi"/>
            <w:sz w:val="24"/>
            <w:szCs w:val="24"/>
            <w:lang w:val="fr-FR" w:eastAsia="fr-FR" w:bidi="ar-SA"/>
          </w:rPr>
          <w:t>phytosanitaires</w:t>
        </w:r>
      </w:hyperlink>
      <w:r w:rsidRPr="00D847CF">
        <w:rPr>
          <w:rFonts w:asciiTheme="majorBidi" w:eastAsia="Times New Roman" w:hAnsiTheme="majorBidi" w:cstheme="majorBidi"/>
          <w:sz w:val="24"/>
          <w:szCs w:val="24"/>
          <w:lang w:val="fr-FR" w:eastAsia="fr-FR" w:bidi="ar-SA"/>
        </w:rPr>
        <w:t> intervenus soit en période</w:t>
      </w:r>
      <w:r w:rsidRPr="00D847CF">
        <w:rPr>
          <w:rFonts w:asciiTheme="majorBidi" w:eastAsia="Times New Roman" w:hAnsiTheme="majorBidi" w:cstheme="majorBidi"/>
          <w:color w:val="252525"/>
          <w:sz w:val="24"/>
          <w:szCs w:val="24"/>
          <w:lang w:val="fr-FR" w:eastAsia="fr-FR" w:bidi="ar-SA"/>
        </w:rPr>
        <w:t xml:space="preserve"> de culture soit après la récolte.</w:t>
      </w:r>
    </w:p>
    <w:p w:rsidR="006A3F31" w:rsidRPr="006A3F31" w:rsidRDefault="006A3F31" w:rsidP="006A3F31">
      <w:pPr>
        <w:autoSpaceDE w:val="0"/>
        <w:autoSpaceDN w:val="0"/>
        <w:adjustRightInd w:val="0"/>
        <w:spacing w:after="0" w:line="360" w:lineRule="auto"/>
        <w:jc w:val="left"/>
        <w:rPr>
          <w:rFonts w:asciiTheme="majorBidi" w:eastAsia="Times New Roman" w:hAnsiTheme="majorBidi" w:cstheme="majorBidi"/>
          <w:b/>
          <w:bCs/>
          <w:i/>
          <w:iCs/>
          <w:color w:val="FF0000"/>
          <w:sz w:val="24"/>
          <w:szCs w:val="24"/>
          <w:lang w:val="fr-FR" w:eastAsia="fr-FR" w:bidi="ar-SA"/>
        </w:rPr>
      </w:pPr>
      <w:r w:rsidRPr="006A3F31">
        <w:rPr>
          <w:rFonts w:asciiTheme="majorBidi" w:eastAsia="Times New Roman" w:hAnsiTheme="majorBidi" w:cstheme="majorBidi"/>
          <w:b/>
          <w:bCs/>
          <w:i/>
          <w:iCs/>
          <w:color w:val="FF0000"/>
          <w:sz w:val="24"/>
          <w:szCs w:val="24"/>
          <w:lang w:val="fr-FR" w:eastAsia="fr-FR" w:bidi="ar-SA"/>
        </w:rPr>
        <w:t>Effets sur la santé</w:t>
      </w:r>
    </w:p>
    <w:p w:rsidR="006A3F31" w:rsidRPr="000A3A10" w:rsidRDefault="006A3F31" w:rsidP="006A3F31">
      <w:pPr>
        <w:shd w:val="clear" w:color="auto" w:fill="FFFFFF"/>
        <w:spacing w:before="120" w:after="120" w:line="360" w:lineRule="auto"/>
        <w:jc w:val="left"/>
        <w:rPr>
          <w:rFonts w:asciiTheme="majorBidi" w:eastAsia="Times New Roman" w:hAnsiTheme="majorBidi" w:cstheme="majorBidi"/>
          <w:color w:val="252525"/>
          <w:sz w:val="24"/>
          <w:szCs w:val="24"/>
          <w:lang w:val="fr-FR" w:eastAsia="fr-FR" w:bidi="ar-SA"/>
        </w:rPr>
      </w:pPr>
      <w:r w:rsidRPr="000A3A10">
        <w:rPr>
          <w:rFonts w:asciiTheme="majorBidi" w:eastAsia="Times New Roman" w:hAnsiTheme="majorBidi" w:cstheme="majorBidi"/>
          <w:color w:val="252525"/>
          <w:sz w:val="24"/>
          <w:szCs w:val="24"/>
          <w:lang w:val="fr-FR" w:eastAsia="fr-FR" w:bidi="ar-SA"/>
        </w:rPr>
        <w:t>L'exposition de la population à ces résidus intervient le plus souvent par la consommation de produits alimentaires traités, ou par un contact rapproché avec des zones traitées à l'aide de pesticides : exploitation agricoles, pelouses autour des maisons, etc.</w:t>
      </w:r>
    </w:p>
    <w:p w:rsidR="006A3F31" w:rsidRDefault="006A3F31" w:rsidP="006A3F31">
      <w:pPr>
        <w:shd w:val="clear" w:color="auto" w:fill="FFFFFF"/>
        <w:spacing w:before="120" w:after="120" w:line="360" w:lineRule="auto"/>
        <w:jc w:val="left"/>
        <w:rPr>
          <w:rFonts w:asciiTheme="majorBidi" w:hAnsiTheme="majorBidi" w:cstheme="majorBidi"/>
          <w:sz w:val="24"/>
          <w:szCs w:val="24"/>
        </w:rPr>
      </w:pPr>
      <w:r w:rsidRPr="000A3A10">
        <w:rPr>
          <w:rFonts w:asciiTheme="majorBidi" w:eastAsia="Times New Roman" w:hAnsiTheme="majorBidi" w:cstheme="majorBidi"/>
          <w:color w:val="252525"/>
          <w:sz w:val="24"/>
          <w:szCs w:val="24"/>
          <w:lang w:val="fr-FR" w:eastAsia="fr-FR" w:bidi="ar-SA"/>
        </w:rPr>
        <w:t>Des études </w:t>
      </w:r>
      <w:hyperlink r:id="rId11" w:tooltip="Épidémiologie" w:history="1">
        <w:r w:rsidRPr="000A3A10">
          <w:rPr>
            <w:rFonts w:asciiTheme="majorBidi" w:eastAsia="Times New Roman" w:hAnsiTheme="majorBidi" w:cstheme="majorBidi"/>
            <w:sz w:val="24"/>
            <w:szCs w:val="24"/>
            <w:lang w:val="fr-FR" w:eastAsia="fr-FR" w:bidi="ar-SA"/>
          </w:rPr>
          <w:t>épidémiologiques</w:t>
        </w:r>
      </w:hyperlink>
      <w:r w:rsidRPr="000A3A10">
        <w:rPr>
          <w:rFonts w:asciiTheme="majorBidi" w:eastAsia="Times New Roman" w:hAnsiTheme="majorBidi" w:cstheme="majorBidi"/>
          <w:sz w:val="24"/>
          <w:szCs w:val="24"/>
          <w:lang w:val="fr-FR" w:eastAsia="fr-FR" w:bidi="ar-SA"/>
        </w:rPr>
        <w:t> mo</w:t>
      </w:r>
      <w:r w:rsidRPr="000A3A10">
        <w:rPr>
          <w:rFonts w:asciiTheme="majorBidi" w:eastAsia="Times New Roman" w:hAnsiTheme="majorBidi" w:cstheme="majorBidi"/>
          <w:color w:val="252525"/>
          <w:sz w:val="24"/>
          <w:szCs w:val="24"/>
          <w:lang w:val="fr-FR" w:eastAsia="fr-FR" w:bidi="ar-SA"/>
        </w:rPr>
        <w:t xml:space="preserve">ntrent des corrélations positives entre l'exposition aux pesticides par risques professionnels, qui tendent à être nettement supérieurs au risque de la population générale concernée par l'ingestion d'aliments, et l'apparition de certains cancers. </w:t>
      </w:r>
    </w:p>
    <w:p w:rsidR="006A3F31" w:rsidRPr="000A3A10" w:rsidRDefault="006A3F31" w:rsidP="006A3F31">
      <w:pPr>
        <w:shd w:val="clear" w:color="auto" w:fill="FFFFFF"/>
        <w:spacing w:before="120" w:after="120" w:line="360" w:lineRule="auto"/>
        <w:jc w:val="left"/>
        <w:rPr>
          <w:rFonts w:asciiTheme="majorBidi" w:eastAsia="Times New Roman" w:hAnsiTheme="majorBidi" w:cstheme="majorBidi"/>
          <w:color w:val="252525"/>
          <w:sz w:val="24"/>
          <w:szCs w:val="24"/>
          <w:lang w:val="fr-FR" w:eastAsia="fr-FR" w:bidi="ar-SA"/>
        </w:rPr>
      </w:pPr>
      <w:r w:rsidRPr="000A3A10">
        <w:rPr>
          <w:rFonts w:asciiTheme="majorBidi" w:eastAsia="Times New Roman" w:hAnsiTheme="majorBidi" w:cstheme="majorBidi"/>
          <w:color w:val="252525"/>
          <w:sz w:val="24"/>
          <w:szCs w:val="24"/>
          <w:lang w:val="fr-FR" w:eastAsia="fr-FR" w:bidi="ar-SA"/>
        </w:rPr>
        <w:t>Les résidus de pesticides ont un large éventail d'effets potentiels sur la santé. Ils peuvent causer une irritation physique de la peau ou agir</w:t>
      </w:r>
      <w:r>
        <w:rPr>
          <w:rFonts w:asciiTheme="majorBidi" w:eastAsia="Times New Roman" w:hAnsiTheme="majorBidi" w:cstheme="majorBidi"/>
          <w:color w:val="252525"/>
          <w:sz w:val="24"/>
          <w:szCs w:val="24"/>
          <w:lang w:val="fr-FR" w:eastAsia="fr-FR" w:bidi="ar-SA"/>
        </w:rPr>
        <w:t xml:space="preserve"> comme des agents cancérigènes,</w:t>
      </w:r>
      <w:r w:rsidRPr="000A3A10">
        <w:rPr>
          <w:rFonts w:asciiTheme="majorBidi" w:eastAsia="Times New Roman" w:hAnsiTheme="majorBidi" w:cstheme="majorBidi"/>
          <w:color w:val="252525"/>
          <w:sz w:val="24"/>
          <w:szCs w:val="24"/>
          <w:lang w:val="fr-FR" w:eastAsia="fr-FR" w:bidi="ar-SA"/>
        </w:rPr>
        <w:t>perturbateurs endocriniens et perturbateurs du système nerveux.</w:t>
      </w:r>
    </w:p>
    <w:p w:rsidR="006A3F31" w:rsidRPr="000A3A10" w:rsidRDefault="006A3F31" w:rsidP="006A3F31">
      <w:pPr>
        <w:shd w:val="clear" w:color="auto" w:fill="FFFFFF"/>
        <w:spacing w:before="120" w:after="120" w:line="360" w:lineRule="auto"/>
        <w:jc w:val="left"/>
        <w:rPr>
          <w:rFonts w:asciiTheme="majorBidi" w:eastAsia="Times New Roman" w:hAnsiTheme="majorBidi" w:cstheme="majorBidi"/>
          <w:color w:val="252525"/>
          <w:sz w:val="24"/>
          <w:szCs w:val="24"/>
          <w:lang w:val="fr-FR" w:eastAsia="fr-FR" w:bidi="ar-SA"/>
        </w:rPr>
      </w:pPr>
      <w:r w:rsidRPr="000A3A10">
        <w:rPr>
          <w:rFonts w:asciiTheme="majorBidi" w:eastAsia="Times New Roman" w:hAnsiTheme="majorBidi" w:cstheme="majorBidi"/>
          <w:color w:val="252525"/>
          <w:sz w:val="24"/>
          <w:szCs w:val="24"/>
          <w:lang w:val="fr-FR" w:eastAsia="fr-FR" w:bidi="ar-SA"/>
        </w:rPr>
        <w:t>D'un autre côté, l'utilisation des pesticides s'est révélée être un outil précieux dans la lutte contre les vecteurs de maladies qui se propagent à des millions d'enfants et d'adultes chaque année. On les utilise dans de nombreux pays en développement pour prévenir la propagation du paludisme, de la leishmaniose, de la dengue et de l'encéphalite japonaise, qui sont des maladies constituant un énorme fardeau économique sur la société.</w:t>
      </w:r>
    </w:p>
    <w:p w:rsidR="006A3F31" w:rsidRPr="006A3F31" w:rsidRDefault="006A3F31" w:rsidP="006A3F31">
      <w:pPr>
        <w:shd w:val="clear" w:color="auto" w:fill="FFFFFF"/>
        <w:spacing w:before="120" w:after="120" w:line="360" w:lineRule="auto"/>
        <w:jc w:val="left"/>
        <w:rPr>
          <w:rFonts w:asciiTheme="majorBidi" w:eastAsia="Times New Roman" w:hAnsiTheme="majorBidi" w:cstheme="majorBidi"/>
          <w:b/>
          <w:bCs/>
          <w:color w:val="FF00FF"/>
          <w:sz w:val="24"/>
          <w:szCs w:val="24"/>
          <w:lang w:val="fr-FR" w:eastAsia="fr-FR" w:bidi="ar-SA"/>
        </w:rPr>
      </w:pPr>
      <w:r w:rsidRPr="006A3F31">
        <w:rPr>
          <w:rFonts w:asciiTheme="majorBidi" w:eastAsia="Times New Roman" w:hAnsiTheme="majorBidi" w:cstheme="majorBidi"/>
          <w:b/>
          <w:bCs/>
          <w:color w:val="FF00FF"/>
          <w:sz w:val="24"/>
          <w:szCs w:val="24"/>
          <w:lang w:val="fr-FR" w:eastAsia="fr-FR" w:bidi="ar-SA"/>
        </w:rPr>
        <w:t>V. Résidus d’emballage dans les aliments</w:t>
      </w:r>
    </w:p>
    <w:p w:rsidR="006A3F31" w:rsidRDefault="006A3F31" w:rsidP="006A3F31">
      <w:pPr>
        <w:spacing w:line="360" w:lineRule="auto"/>
        <w:rPr>
          <w:rFonts w:asciiTheme="majorBidi" w:eastAsia="Times New Roman" w:hAnsiTheme="majorBidi" w:cstheme="majorBidi"/>
          <w:color w:val="333333"/>
          <w:sz w:val="24"/>
          <w:szCs w:val="24"/>
          <w:lang w:val="fr-FR" w:eastAsia="fr-FR" w:bidi="ar-SA"/>
        </w:rPr>
      </w:pPr>
      <w:r w:rsidRPr="000A3A10">
        <w:rPr>
          <w:rFonts w:asciiTheme="majorBidi" w:eastAsia="Times New Roman" w:hAnsiTheme="majorBidi" w:cstheme="majorBidi"/>
          <w:color w:val="333333"/>
          <w:sz w:val="24"/>
          <w:szCs w:val="24"/>
          <w:lang w:val="fr-FR" w:eastAsia="fr-FR" w:bidi="ar-SA"/>
        </w:rPr>
        <w:t>Les </w:t>
      </w:r>
      <w:hyperlink r:id="rId12" w:tgtFrame="_blank" w:tooltip="L'encre des cartons d'emballage contamine nos aliments" w:history="1">
        <w:r w:rsidRPr="000A3A10">
          <w:rPr>
            <w:rFonts w:asciiTheme="majorBidi" w:eastAsia="Times New Roman" w:hAnsiTheme="majorBidi" w:cstheme="majorBidi"/>
            <w:sz w:val="24"/>
            <w:szCs w:val="24"/>
            <w:lang w:val="fr-FR" w:eastAsia="fr-FR" w:bidi="ar-SA"/>
          </w:rPr>
          <w:t>emballages alimentaires</w:t>
        </w:r>
      </w:hyperlink>
      <w:r w:rsidRPr="000A3A10">
        <w:rPr>
          <w:rFonts w:asciiTheme="majorBidi" w:eastAsia="Times New Roman" w:hAnsiTheme="majorBidi" w:cstheme="majorBidi"/>
          <w:sz w:val="24"/>
          <w:szCs w:val="24"/>
          <w:lang w:val="fr-FR" w:eastAsia="fr-FR" w:bidi="ar-SA"/>
        </w:rPr>
        <w:t> s</w:t>
      </w:r>
      <w:r w:rsidRPr="000A3A10">
        <w:rPr>
          <w:rFonts w:asciiTheme="majorBidi" w:eastAsia="Times New Roman" w:hAnsiTheme="majorBidi" w:cstheme="majorBidi"/>
          <w:color w:val="333333"/>
          <w:sz w:val="24"/>
          <w:szCs w:val="24"/>
          <w:lang w:val="fr-FR" w:eastAsia="fr-FR" w:bidi="ar-SA"/>
        </w:rPr>
        <w:t xml:space="preserve">ont devenus incontournables, et bien qu’ils ne soient pas directement consommés, ils peuvent tout de même être nocifs pour notre santé. </w:t>
      </w:r>
    </w:p>
    <w:p w:rsidR="006A3F31" w:rsidRPr="00C32C22" w:rsidRDefault="006A3F31" w:rsidP="006A3F31">
      <w:pPr>
        <w:autoSpaceDE w:val="0"/>
        <w:autoSpaceDN w:val="0"/>
        <w:adjustRightInd w:val="0"/>
        <w:spacing w:after="0" w:line="360" w:lineRule="auto"/>
        <w:jc w:val="left"/>
        <w:rPr>
          <w:rFonts w:asciiTheme="majorBidi" w:hAnsiTheme="majorBidi" w:cstheme="majorBidi"/>
          <w:color w:val="000000"/>
          <w:sz w:val="24"/>
          <w:szCs w:val="24"/>
          <w:lang w:val="fr-FR" w:bidi="ar-SA"/>
        </w:rPr>
      </w:pPr>
      <w:r w:rsidRPr="00C32C22">
        <w:rPr>
          <w:rFonts w:asciiTheme="majorBidi" w:hAnsiTheme="majorBidi" w:cstheme="majorBidi"/>
          <w:color w:val="000000"/>
          <w:sz w:val="24"/>
          <w:szCs w:val="24"/>
          <w:lang w:val="fr-FR" w:bidi="ar-SA"/>
        </w:rPr>
        <w:t xml:space="preserve">L’emballage </w:t>
      </w:r>
      <w:r>
        <w:rPr>
          <w:rFonts w:asciiTheme="majorBidi" w:hAnsiTheme="majorBidi" w:cstheme="majorBidi"/>
          <w:color w:val="000000"/>
          <w:sz w:val="24"/>
          <w:szCs w:val="24"/>
          <w:lang w:val="fr-FR" w:bidi="ar-SA"/>
        </w:rPr>
        <w:t xml:space="preserve">a </w:t>
      </w:r>
      <w:r w:rsidRPr="00C32C22">
        <w:rPr>
          <w:rFonts w:asciiTheme="majorBidi" w:hAnsiTheme="majorBidi" w:cstheme="majorBidi"/>
          <w:color w:val="000000"/>
          <w:sz w:val="24"/>
          <w:szCs w:val="24"/>
          <w:lang w:val="fr-FR" w:bidi="ar-SA"/>
        </w:rPr>
        <w:t>un rôle de protection du produit alimentaire et le maintien de son intégrité en terme</w:t>
      </w:r>
      <w:r>
        <w:rPr>
          <w:rFonts w:asciiTheme="majorBidi" w:hAnsiTheme="majorBidi" w:cstheme="majorBidi"/>
          <w:color w:val="000000"/>
          <w:sz w:val="24"/>
          <w:szCs w:val="24"/>
          <w:lang w:val="fr-FR" w:bidi="ar-SA"/>
        </w:rPr>
        <w:t xml:space="preserve"> </w:t>
      </w:r>
      <w:r w:rsidRPr="00C32C22">
        <w:rPr>
          <w:rFonts w:asciiTheme="majorBidi" w:hAnsiTheme="majorBidi" w:cstheme="majorBidi"/>
          <w:color w:val="000000"/>
          <w:sz w:val="24"/>
          <w:szCs w:val="24"/>
          <w:lang w:val="fr-FR" w:bidi="ar-SA"/>
        </w:rPr>
        <w:t>de goût et de sécurité alimentaire jusqu’au point de consommation final. Par conséquent, l’emballage doit</w:t>
      </w:r>
      <w:r>
        <w:rPr>
          <w:rFonts w:asciiTheme="majorBidi" w:hAnsiTheme="majorBidi" w:cstheme="majorBidi"/>
          <w:color w:val="000000"/>
          <w:sz w:val="24"/>
          <w:szCs w:val="24"/>
          <w:lang w:val="fr-FR" w:bidi="ar-SA"/>
        </w:rPr>
        <w:t xml:space="preserve"> </w:t>
      </w:r>
      <w:r w:rsidRPr="00C32C22">
        <w:rPr>
          <w:rFonts w:asciiTheme="majorBidi" w:hAnsiTheme="majorBidi" w:cstheme="majorBidi"/>
          <w:color w:val="000000"/>
          <w:sz w:val="24"/>
          <w:szCs w:val="24"/>
          <w:lang w:val="fr-FR" w:bidi="ar-SA"/>
        </w:rPr>
        <w:t>permettre de maintenir les qualités organoleptiques, nutritionnelles et sanitaires du produit. Il faudra aussi</w:t>
      </w:r>
      <w:r>
        <w:rPr>
          <w:rFonts w:asciiTheme="majorBidi" w:hAnsiTheme="majorBidi" w:cstheme="majorBidi"/>
          <w:color w:val="000000"/>
          <w:sz w:val="24"/>
          <w:szCs w:val="24"/>
          <w:lang w:val="fr-FR" w:bidi="ar-SA"/>
        </w:rPr>
        <w:t xml:space="preserve"> </w:t>
      </w:r>
      <w:r w:rsidRPr="00C32C22">
        <w:rPr>
          <w:rFonts w:asciiTheme="majorBidi" w:hAnsiTheme="majorBidi" w:cstheme="majorBidi"/>
          <w:color w:val="000000"/>
          <w:sz w:val="24"/>
          <w:szCs w:val="24"/>
          <w:lang w:val="fr-FR" w:bidi="ar-SA"/>
        </w:rPr>
        <w:t>prendre en considération les compatibilités entre le contenant et le contenu, ainsi que l’inertie des matériaux,</w:t>
      </w:r>
    </w:p>
    <w:p w:rsidR="006A3F31" w:rsidRDefault="006A3F31" w:rsidP="006A3F31">
      <w:pPr>
        <w:spacing w:line="360" w:lineRule="auto"/>
        <w:rPr>
          <w:rFonts w:asciiTheme="majorBidi" w:hAnsiTheme="majorBidi" w:cstheme="majorBidi"/>
          <w:color w:val="000000"/>
          <w:sz w:val="24"/>
          <w:szCs w:val="24"/>
          <w:lang w:val="fr-FR" w:bidi="ar-SA"/>
        </w:rPr>
      </w:pPr>
      <w:r w:rsidRPr="00C32C22">
        <w:rPr>
          <w:rFonts w:asciiTheme="majorBidi" w:hAnsiTheme="majorBidi" w:cstheme="majorBidi"/>
          <w:color w:val="000000"/>
          <w:sz w:val="24"/>
          <w:szCs w:val="24"/>
          <w:lang w:val="fr-FR" w:bidi="ar-SA"/>
        </w:rPr>
        <w:t>C’est-à-dire la non-migration des éléments de l’emballage vers le produit</w:t>
      </w:r>
      <w:r>
        <w:rPr>
          <w:rFonts w:asciiTheme="majorBidi" w:hAnsiTheme="majorBidi" w:cstheme="majorBidi"/>
          <w:color w:val="000000"/>
          <w:sz w:val="24"/>
          <w:szCs w:val="24"/>
          <w:lang w:val="fr-FR" w:bidi="ar-SA"/>
        </w:rPr>
        <w:t> :</w:t>
      </w:r>
    </w:p>
    <w:p w:rsidR="006A3F31" w:rsidRDefault="006A3F31" w:rsidP="006A3F31">
      <w:pPr>
        <w:spacing w:line="360" w:lineRule="auto"/>
        <w:rPr>
          <w:rFonts w:asciiTheme="majorBidi" w:hAnsiTheme="majorBidi" w:cstheme="majorBidi"/>
          <w:color w:val="000000"/>
          <w:sz w:val="24"/>
          <w:szCs w:val="24"/>
          <w:lang w:val="fr-FR" w:bidi="ar-SA"/>
        </w:rPr>
      </w:pPr>
    </w:p>
    <w:p w:rsidR="006A3F31" w:rsidRPr="006A3F31" w:rsidRDefault="006A3F31" w:rsidP="006A3F31">
      <w:pPr>
        <w:spacing w:line="360" w:lineRule="auto"/>
        <w:rPr>
          <w:rFonts w:asciiTheme="majorBidi" w:eastAsia="Times New Roman" w:hAnsiTheme="majorBidi" w:cstheme="majorBidi"/>
          <w:b/>
          <w:bCs/>
          <w:i/>
          <w:iCs/>
          <w:color w:val="00B050"/>
          <w:sz w:val="24"/>
          <w:szCs w:val="24"/>
          <w:lang w:val="fr-FR" w:eastAsia="fr-FR" w:bidi="ar-SA"/>
        </w:rPr>
      </w:pPr>
      <w:r w:rsidRPr="006A3F31">
        <w:rPr>
          <w:rFonts w:asciiTheme="majorBidi" w:eastAsia="Times New Roman" w:hAnsiTheme="majorBidi" w:cstheme="majorBidi"/>
          <w:b/>
          <w:bCs/>
          <w:i/>
          <w:iCs/>
          <w:color w:val="00B050"/>
          <w:sz w:val="24"/>
          <w:szCs w:val="24"/>
          <w:lang w:val="fr-FR" w:eastAsia="fr-FR" w:bidi="ar-SA"/>
        </w:rPr>
        <w:lastRenderedPageBreak/>
        <w:t>*Huiles minérales</w:t>
      </w:r>
    </w:p>
    <w:p w:rsidR="006A3F31" w:rsidRPr="000B3027" w:rsidRDefault="006A3F31" w:rsidP="006A3F31">
      <w:pPr>
        <w:spacing w:after="0" w:line="360" w:lineRule="auto"/>
        <w:jc w:val="left"/>
        <w:textAlignment w:val="baseline"/>
        <w:rPr>
          <w:rFonts w:asciiTheme="majorBidi" w:eastAsia="Times New Roman" w:hAnsiTheme="majorBidi" w:cstheme="majorBidi"/>
          <w:color w:val="222222"/>
          <w:sz w:val="24"/>
          <w:szCs w:val="24"/>
          <w:lang w:val="fr-FR" w:eastAsia="fr-FR" w:bidi="ar-SA"/>
        </w:rPr>
      </w:pPr>
      <w:r w:rsidRPr="00517953">
        <w:rPr>
          <w:rFonts w:asciiTheme="majorBidi" w:eastAsia="Times New Roman" w:hAnsiTheme="majorBidi" w:cstheme="majorBidi"/>
          <w:color w:val="222222"/>
          <w:sz w:val="24"/>
          <w:szCs w:val="24"/>
          <w:lang w:val="fr-FR" w:eastAsia="fr-FR" w:bidi="ar-SA"/>
        </w:rPr>
        <w:t>Des huiles dérivées d'hydrocarbures sont retrouv</w:t>
      </w:r>
      <w:r>
        <w:rPr>
          <w:rFonts w:asciiTheme="majorBidi" w:eastAsia="Times New Roman" w:hAnsiTheme="majorBidi" w:cstheme="majorBidi"/>
          <w:color w:val="222222"/>
          <w:sz w:val="24"/>
          <w:szCs w:val="24"/>
          <w:lang w:val="fr-FR" w:eastAsia="fr-FR" w:bidi="ar-SA"/>
        </w:rPr>
        <w:t xml:space="preserve">ées dans les aliments de grande </w:t>
      </w:r>
      <w:r w:rsidRPr="00517953">
        <w:rPr>
          <w:rFonts w:asciiTheme="majorBidi" w:eastAsia="Times New Roman" w:hAnsiTheme="majorBidi" w:cstheme="majorBidi"/>
          <w:color w:val="222222"/>
          <w:sz w:val="24"/>
          <w:szCs w:val="24"/>
          <w:lang w:val="fr-FR" w:eastAsia="fr-FR" w:bidi="ar-SA"/>
        </w:rPr>
        <w:t>consommation comme les pâtes, les lentilles, les céréales, les biscuits ou le riz</w:t>
      </w:r>
      <w:r>
        <w:rPr>
          <w:rFonts w:asciiTheme="majorBidi" w:eastAsia="Times New Roman" w:hAnsiTheme="majorBidi" w:cstheme="majorBidi"/>
          <w:color w:val="222222"/>
          <w:sz w:val="24"/>
          <w:szCs w:val="24"/>
          <w:lang w:val="fr-FR" w:eastAsia="fr-FR" w:bidi="ar-SA"/>
        </w:rPr>
        <w:t>,</w:t>
      </w:r>
      <w:r w:rsidRPr="000B3027">
        <w:rPr>
          <w:rFonts w:ascii="Arial" w:eastAsia="Times New Roman" w:hAnsi="Arial" w:cs="Arial"/>
          <w:color w:val="222222"/>
          <w:sz w:val="29"/>
          <w:szCs w:val="29"/>
          <w:lang w:val="fr-FR" w:eastAsia="fr-FR" w:bidi="ar-SA"/>
        </w:rPr>
        <w:t xml:space="preserve"> </w:t>
      </w:r>
      <w:r w:rsidRPr="000B3027">
        <w:rPr>
          <w:rFonts w:asciiTheme="majorBidi" w:eastAsia="Times New Roman" w:hAnsiTheme="majorBidi" w:cstheme="majorBidi"/>
          <w:color w:val="222222"/>
          <w:sz w:val="24"/>
          <w:szCs w:val="24"/>
          <w:lang w:val="fr-FR" w:eastAsia="fr-FR" w:bidi="ar-SA"/>
        </w:rPr>
        <w:t>la contamination par ces</w:t>
      </w:r>
      <w:r w:rsidRPr="00517953">
        <w:rPr>
          <w:rFonts w:asciiTheme="majorBidi" w:eastAsia="Times New Roman" w:hAnsiTheme="majorBidi" w:cstheme="majorBidi"/>
          <w:color w:val="222222"/>
          <w:sz w:val="24"/>
          <w:szCs w:val="24"/>
          <w:lang w:val="fr-FR" w:eastAsia="fr-FR" w:bidi="ar-SA"/>
        </w:rPr>
        <w:t> </w:t>
      </w:r>
      <w:r w:rsidRPr="00517953">
        <w:rPr>
          <w:rFonts w:asciiTheme="majorBidi" w:eastAsia="Times New Roman" w:hAnsiTheme="majorBidi" w:cstheme="majorBidi"/>
          <w:i/>
          <w:iCs/>
          <w:color w:val="222222"/>
          <w:sz w:val="24"/>
          <w:szCs w:val="24"/>
          <w:lang w:val="fr-FR" w:eastAsia="fr-FR" w:bidi="ar-SA"/>
        </w:rPr>
        <w:t>"huiles minérales"</w:t>
      </w:r>
      <w:r w:rsidRPr="00517953">
        <w:rPr>
          <w:rFonts w:asciiTheme="majorBidi" w:eastAsia="Times New Roman" w:hAnsiTheme="majorBidi" w:cstheme="majorBidi"/>
          <w:color w:val="222222"/>
          <w:sz w:val="24"/>
          <w:szCs w:val="24"/>
          <w:lang w:val="fr-FR" w:eastAsia="fr-FR" w:bidi="ar-SA"/>
        </w:rPr>
        <w:t> </w:t>
      </w:r>
      <w:r w:rsidRPr="000B3027">
        <w:rPr>
          <w:rFonts w:asciiTheme="majorBidi" w:eastAsia="Times New Roman" w:hAnsiTheme="majorBidi" w:cstheme="majorBidi"/>
          <w:color w:val="222222"/>
          <w:sz w:val="24"/>
          <w:szCs w:val="24"/>
          <w:lang w:val="fr-FR" w:eastAsia="fr-FR" w:bidi="ar-SA"/>
        </w:rPr>
        <w:t>de la nourriture emballée a plusieurs origines: le carton recyclé, des cartons non recyclés mais contaminés par l'environnement extérieur et les résidus des produits lubrifiants des machines lors de la fabrication. Deux catégories d'huiles sont mises en cause : des MOAH (</w:t>
      </w:r>
      <w:r w:rsidRPr="00517953">
        <w:rPr>
          <w:rFonts w:asciiTheme="majorBidi" w:eastAsia="Times New Roman" w:hAnsiTheme="majorBidi" w:cstheme="majorBidi"/>
          <w:i/>
          <w:iCs/>
          <w:color w:val="222222"/>
          <w:sz w:val="24"/>
          <w:szCs w:val="24"/>
          <w:lang w:val="fr-FR" w:eastAsia="fr-FR" w:bidi="ar-SA"/>
        </w:rPr>
        <w:t>mineral oil aromatic hydrocarbons</w:t>
      </w:r>
      <w:r w:rsidRPr="000B3027">
        <w:rPr>
          <w:rFonts w:asciiTheme="majorBidi" w:eastAsia="Times New Roman" w:hAnsiTheme="majorBidi" w:cstheme="majorBidi"/>
          <w:color w:val="222222"/>
          <w:sz w:val="24"/>
          <w:szCs w:val="24"/>
          <w:lang w:val="fr-FR" w:eastAsia="fr-FR" w:bidi="ar-SA"/>
        </w:rPr>
        <w:t>), suspectées d'être cancérigènes et mutagènes, et les MOSH (</w:t>
      </w:r>
      <w:r w:rsidRPr="00517953">
        <w:rPr>
          <w:rFonts w:asciiTheme="majorBidi" w:eastAsia="Times New Roman" w:hAnsiTheme="majorBidi" w:cstheme="majorBidi"/>
          <w:i/>
          <w:iCs/>
          <w:color w:val="222222"/>
          <w:sz w:val="24"/>
          <w:szCs w:val="24"/>
          <w:lang w:val="fr-FR" w:eastAsia="fr-FR" w:bidi="ar-SA"/>
        </w:rPr>
        <w:t>mineral oil saturated hydrocarbons</w:t>
      </w:r>
      <w:r w:rsidRPr="000B3027">
        <w:rPr>
          <w:rFonts w:asciiTheme="majorBidi" w:eastAsia="Times New Roman" w:hAnsiTheme="majorBidi" w:cstheme="majorBidi"/>
          <w:color w:val="222222"/>
          <w:sz w:val="24"/>
          <w:szCs w:val="24"/>
          <w:lang w:val="fr-FR" w:eastAsia="fr-FR" w:bidi="ar-SA"/>
        </w:rPr>
        <w:t>).</w:t>
      </w:r>
    </w:p>
    <w:p w:rsidR="006A3F31" w:rsidRDefault="006A3F31" w:rsidP="006A3F31">
      <w:pPr>
        <w:autoSpaceDE w:val="0"/>
        <w:autoSpaceDN w:val="0"/>
        <w:adjustRightInd w:val="0"/>
        <w:spacing w:after="0" w:line="360" w:lineRule="auto"/>
        <w:jc w:val="left"/>
        <w:rPr>
          <w:rFonts w:asciiTheme="majorBidi" w:eastAsia="Times New Roman" w:hAnsiTheme="majorBidi" w:cstheme="majorBidi"/>
          <w:color w:val="000000"/>
          <w:sz w:val="24"/>
          <w:szCs w:val="24"/>
          <w:lang w:val="fr-FR" w:eastAsia="fr-FR" w:bidi="ar-SA"/>
        </w:rPr>
      </w:pPr>
      <w:r w:rsidRPr="00C64BC7">
        <w:rPr>
          <w:rFonts w:asciiTheme="majorBidi" w:eastAsia="Times New Roman" w:hAnsiTheme="majorBidi" w:cstheme="majorBidi"/>
          <w:color w:val="000000"/>
          <w:sz w:val="24"/>
          <w:szCs w:val="24"/>
          <w:lang w:val="fr-FR" w:eastAsia="fr-FR" w:bidi="ar-SA"/>
        </w:rPr>
        <w:t>Par ailleurs, du papier journal imprimé est utilisé pour fabriquer le carton recyclé. Or, la plupart des encres d'imprimerie contiennent des huiles minérales qui ne peuvent pas être éliminées complètement lors du processus de recyclage et se retrouvent dans les emballages alimentaires en carton</w:t>
      </w:r>
      <w:r>
        <w:rPr>
          <w:rFonts w:asciiTheme="majorBidi" w:eastAsia="Times New Roman" w:hAnsiTheme="majorBidi" w:cstheme="majorBidi"/>
          <w:color w:val="000000"/>
          <w:sz w:val="24"/>
          <w:szCs w:val="24"/>
          <w:lang w:val="fr-FR" w:eastAsia="fr-FR" w:bidi="ar-SA"/>
        </w:rPr>
        <w:t>.</w:t>
      </w:r>
    </w:p>
    <w:p w:rsidR="006A3F31" w:rsidRDefault="006A3F31" w:rsidP="006A3F31">
      <w:pPr>
        <w:autoSpaceDE w:val="0"/>
        <w:autoSpaceDN w:val="0"/>
        <w:adjustRightInd w:val="0"/>
        <w:spacing w:after="0" w:line="360" w:lineRule="auto"/>
        <w:jc w:val="left"/>
        <w:rPr>
          <w:rFonts w:asciiTheme="majorBidi" w:hAnsiTheme="majorBidi" w:cstheme="majorBidi"/>
          <w:b/>
          <w:bCs/>
          <w:sz w:val="24"/>
          <w:szCs w:val="24"/>
          <w:lang w:val="fr-FR" w:bidi="ar-SA"/>
        </w:rPr>
      </w:pPr>
    </w:p>
    <w:p w:rsidR="006A3F31" w:rsidRPr="006A3F31" w:rsidRDefault="006A3F31" w:rsidP="006A3F31">
      <w:pPr>
        <w:autoSpaceDE w:val="0"/>
        <w:autoSpaceDN w:val="0"/>
        <w:adjustRightInd w:val="0"/>
        <w:spacing w:after="0" w:line="360" w:lineRule="auto"/>
        <w:jc w:val="left"/>
        <w:rPr>
          <w:rFonts w:asciiTheme="majorBidi" w:hAnsiTheme="majorBidi" w:cstheme="majorBidi"/>
          <w:color w:val="00B0F0"/>
          <w:sz w:val="24"/>
          <w:szCs w:val="24"/>
        </w:rPr>
      </w:pPr>
      <w:r w:rsidRPr="006A3F31">
        <w:rPr>
          <w:rFonts w:asciiTheme="majorBidi" w:hAnsiTheme="majorBidi" w:cstheme="majorBidi"/>
          <w:b/>
          <w:bCs/>
          <w:i/>
          <w:iCs/>
          <w:color w:val="00B0F0"/>
          <w:sz w:val="24"/>
          <w:szCs w:val="24"/>
        </w:rPr>
        <w:t>*Bisphénol A</w:t>
      </w:r>
      <w:r w:rsidRPr="006A3F31">
        <w:rPr>
          <w:rFonts w:asciiTheme="majorBidi" w:hAnsiTheme="majorBidi" w:cstheme="majorBidi"/>
          <w:color w:val="00B0F0"/>
          <w:sz w:val="24"/>
          <w:szCs w:val="24"/>
        </w:rPr>
        <w:t xml:space="preserve"> </w:t>
      </w:r>
    </w:p>
    <w:p w:rsidR="006A3F31" w:rsidRPr="00061B70" w:rsidRDefault="006A3F31" w:rsidP="006A3F31">
      <w:pPr>
        <w:autoSpaceDE w:val="0"/>
        <w:autoSpaceDN w:val="0"/>
        <w:adjustRightInd w:val="0"/>
        <w:spacing w:after="0" w:line="360" w:lineRule="auto"/>
        <w:jc w:val="left"/>
        <w:rPr>
          <w:rFonts w:asciiTheme="majorBidi" w:hAnsiTheme="majorBidi" w:cstheme="majorBidi"/>
          <w:sz w:val="24"/>
          <w:szCs w:val="24"/>
        </w:rPr>
      </w:pPr>
      <w:r w:rsidRPr="00061B70">
        <w:rPr>
          <w:rFonts w:asciiTheme="majorBidi" w:hAnsiTheme="majorBidi" w:cstheme="majorBidi"/>
          <w:sz w:val="24"/>
          <w:szCs w:val="24"/>
        </w:rPr>
        <w:t xml:space="preserve">De nombreux récipients </w:t>
      </w:r>
      <w:r w:rsidRPr="0035618F">
        <w:rPr>
          <w:rFonts w:asciiTheme="majorBidi" w:hAnsiTheme="majorBidi" w:cstheme="majorBidi"/>
          <w:sz w:val="24"/>
          <w:szCs w:val="24"/>
        </w:rPr>
        <w:t>et e</w:t>
      </w:r>
      <w:r w:rsidRPr="00061B70">
        <w:rPr>
          <w:rFonts w:asciiTheme="majorBidi" w:hAnsiTheme="majorBidi" w:cstheme="majorBidi"/>
          <w:sz w:val="24"/>
          <w:szCs w:val="24"/>
        </w:rPr>
        <w:t>mballages plastiques sont fabriqués à partir de bisphénol A, une substance chimique qui peut se retrouver dans les denrées alimentaires. C'est notamment le cas des biberons en polycarbonate</w:t>
      </w:r>
      <w:r>
        <w:rPr>
          <w:rFonts w:asciiTheme="majorBidi" w:hAnsiTheme="majorBidi" w:cstheme="majorBidi"/>
          <w:sz w:val="24"/>
          <w:szCs w:val="24"/>
        </w:rPr>
        <w:t>.</w:t>
      </w:r>
    </w:p>
    <w:p w:rsidR="006A3F31" w:rsidRPr="00061B70" w:rsidRDefault="006A3F31" w:rsidP="006A3F31">
      <w:pPr>
        <w:autoSpaceDE w:val="0"/>
        <w:autoSpaceDN w:val="0"/>
        <w:adjustRightInd w:val="0"/>
        <w:spacing w:after="0" w:line="360" w:lineRule="auto"/>
        <w:jc w:val="left"/>
        <w:rPr>
          <w:rFonts w:asciiTheme="majorBidi" w:hAnsiTheme="majorBidi" w:cstheme="majorBidi"/>
          <w:sz w:val="24"/>
          <w:szCs w:val="24"/>
        </w:rPr>
      </w:pPr>
      <w:r w:rsidRPr="00061B70">
        <w:rPr>
          <w:rFonts w:asciiTheme="majorBidi" w:hAnsiTheme="majorBidi" w:cstheme="majorBidi"/>
          <w:sz w:val="24"/>
          <w:szCs w:val="24"/>
        </w:rPr>
        <w:t>Le bisphénol A (BPA) est une substance chimique de synthèse qui entre dans la fabrication de nombreuses matières plastiques destinées au contact alimentaire. Il est un constituant des résines époxydes qui servent aux revêtements internes des boîtes de conserve et des cannettes de boissons mais aussi du polycarbonate (PC) qui est utilisé dans la production de certains biberons. A des doses toxiques, le BPA a un effet sur la reproduction et sur le développement fœtal. Les dernières évaluations de risque établissent une dose journalière admissible (DJA) de 50 µg/kg poids corporel</w:t>
      </w:r>
    </w:p>
    <w:p w:rsidR="006A3F31" w:rsidRPr="00061B70" w:rsidRDefault="006A3F31" w:rsidP="006A3F31">
      <w:pPr>
        <w:autoSpaceDE w:val="0"/>
        <w:autoSpaceDN w:val="0"/>
        <w:adjustRightInd w:val="0"/>
        <w:spacing w:after="0" w:line="360" w:lineRule="auto"/>
        <w:jc w:val="left"/>
        <w:rPr>
          <w:rFonts w:asciiTheme="majorBidi" w:hAnsiTheme="majorBidi" w:cstheme="majorBidi"/>
          <w:b/>
          <w:bCs/>
          <w:sz w:val="24"/>
          <w:szCs w:val="24"/>
          <w:lang w:val="fr-FR" w:bidi="ar-SA"/>
        </w:rPr>
      </w:pPr>
    </w:p>
    <w:p w:rsidR="006A3F31" w:rsidRPr="006A3F31" w:rsidRDefault="006A3F31" w:rsidP="006A3F31">
      <w:pPr>
        <w:autoSpaceDE w:val="0"/>
        <w:autoSpaceDN w:val="0"/>
        <w:adjustRightInd w:val="0"/>
        <w:spacing w:after="0" w:line="360" w:lineRule="auto"/>
        <w:ind w:left="142"/>
        <w:jc w:val="left"/>
        <w:rPr>
          <w:rFonts w:asciiTheme="majorBidi" w:hAnsiTheme="majorBidi" w:cstheme="majorBidi"/>
          <w:b/>
          <w:bCs/>
          <w:sz w:val="24"/>
          <w:szCs w:val="24"/>
          <w:lang w:val="fr-FR" w:bidi="ar-SA"/>
        </w:rPr>
      </w:pPr>
      <w:r>
        <w:rPr>
          <w:rFonts w:asciiTheme="majorBidi" w:hAnsiTheme="majorBidi" w:cstheme="majorBidi"/>
          <w:b/>
          <w:bCs/>
          <w:sz w:val="24"/>
          <w:szCs w:val="24"/>
          <w:lang w:val="fr-FR" w:bidi="ar-SA"/>
        </w:rPr>
        <w:t>VI.</w:t>
      </w:r>
      <w:r w:rsidRPr="006A3F31">
        <w:rPr>
          <w:rFonts w:asciiTheme="majorBidi" w:hAnsiTheme="majorBidi" w:cstheme="majorBidi"/>
          <w:b/>
          <w:bCs/>
          <w:sz w:val="24"/>
          <w:szCs w:val="24"/>
          <w:lang w:val="fr-FR" w:bidi="ar-SA"/>
        </w:rPr>
        <w:t>Prévention et législation</w:t>
      </w:r>
    </w:p>
    <w:p w:rsidR="006A3F31" w:rsidRPr="00B8190D" w:rsidRDefault="006A3F31" w:rsidP="006A3F31">
      <w:pPr>
        <w:spacing w:before="120" w:after="120" w:line="360" w:lineRule="auto"/>
        <w:jc w:val="left"/>
        <w:rPr>
          <w:rFonts w:asciiTheme="majorBidi" w:eastAsia="Times New Roman" w:hAnsiTheme="majorBidi" w:cstheme="majorBidi"/>
          <w:sz w:val="24"/>
          <w:szCs w:val="24"/>
          <w:lang w:val="fr-FR" w:eastAsia="fr-FR" w:bidi="ar-SA"/>
        </w:rPr>
      </w:pPr>
      <w:r w:rsidRPr="00D83D99">
        <w:rPr>
          <w:rFonts w:asciiTheme="majorBidi" w:eastAsia="Times New Roman" w:hAnsiTheme="majorBidi" w:cstheme="majorBidi"/>
          <w:color w:val="252525"/>
          <w:sz w:val="24"/>
          <w:szCs w:val="24"/>
          <w:lang w:val="fr-FR" w:eastAsia="fr-FR" w:bidi="ar-SA"/>
        </w:rPr>
        <w:t>La législation alimentaire veut couvrir toutes les étapes de la production, de la transformation</w:t>
      </w:r>
      <w:r>
        <w:rPr>
          <w:rFonts w:asciiTheme="majorBidi" w:eastAsia="Times New Roman" w:hAnsiTheme="majorBidi" w:cstheme="majorBidi"/>
          <w:color w:val="252525"/>
          <w:sz w:val="24"/>
          <w:szCs w:val="24"/>
          <w:lang w:val="fr-FR" w:eastAsia="fr-FR" w:bidi="ar-SA"/>
        </w:rPr>
        <w:t>,</w:t>
      </w:r>
      <w:r w:rsidRPr="00D83D99">
        <w:rPr>
          <w:rFonts w:asciiTheme="majorBidi" w:eastAsia="Times New Roman" w:hAnsiTheme="majorBidi" w:cstheme="majorBidi"/>
          <w:color w:val="252525"/>
          <w:sz w:val="24"/>
          <w:szCs w:val="24"/>
          <w:lang w:val="fr-FR" w:eastAsia="fr-FR" w:bidi="ar-SA"/>
        </w:rPr>
        <w:t xml:space="preserve"> de la distribution des denrées alimentaires et également des aliments destinés ou donnés à des animaux.</w:t>
      </w:r>
      <w:r w:rsidRPr="004B454B">
        <w:rPr>
          <w:rFonts w:ascii="Arial" w:eastAsia="Times New Roman" w:hAnsi="Arial" w:cs="Arial"/>
          <w:color w:val="252525"/>
          <w:sz w:val="21"/>
          <w:szCs w:val="21"/>
          <w:lang w:val="fr-FR" w:eastAsia="fr-FR" w:bidi="ar-SA"/>
        </w:rPr>
        <w:t xml:space="preserve"> </w:t>
      </w:r>
      <w:r w:rsidRPr="00B8190D">
        <w:rPr>
          <w:rFonts w:asciiTheme="majorBidi" w:eastAsia="Times New Roman" w:hAnsiTheme="majorBidi" w:cstheme="majorBidi"/>
          <w:color w:val="252525"/>
          <w:sz w:val="24"/>
          <w:szCs w:val="24"/>
          <w:lang w:val="fr-FR" w:eastAsia="fr-FR" w:bidi="ar-SA"/>
        </w:rPr>
        <w:t>Pour atteindre l'objectif général d'un niveau élevé de protection de la </w:t>
      </w:r>
      <w:hyperlink r:id="rId13" w:tooltip="Santé publique" w:history="1">
        <w:r w:rsidRPr="00B8190D">
          <w:rPr>
            <w:rFonts w:asciiTheme="majorBidi" w:eastAsia="Times New Roman" w:hAnsiTheme="majorBidi" w:cstheme="majorBidi"/>
            <w:sz w:val="24"/>
            <w:szCs w:val="24"/>
            <w:lang w:val="fr-FR" w:eastAsia="fr-FR" w:bidi="ar-SA"/>
          </w:rPr>
          <w:t>santé</w:t>
        </w:r>
      </w:hyperlink>
      <w:r w:rsidRPr="00B8190D">
        <w:rPr>
          <w:rFonts w:asciiTheme="majorBidi" w:eastAsia="Times New Roman" w:hAnsiTheme="majorBidi" w:cstheme="majorBidi"/>
          <w:sz w:val="24"/>
          <w:szCs w:val="24"/>
          <w:lang w:val="fr-FR" w:eastAsia="fr-FR" w:bidi="ar-SA"/>
        </w:rPr>
        <w:t> et de la vie des personnes, la législation alimentaire se fonde sur l'</w:t>
      </w:r>
      <w:hyperlink r:id="rId14" w:tooltip="Analyse des risques" w:history="1">
        <w:r w:rsidRPr="00B8190D">
          <w:rPr>
            <w:rFonts w:asciiTheme="majorBidi" w:eastAsia="Times New Roman" w:hAnsiTheme="majorBidi" w:cstheme="majorBidi"/>
            <w:sz w:val="24"/>
            <w:szCs w:val="24"/>
            <w:lang w:val="fr-FR" w:eastAsia="fr-FR" w:bidi="ar-SA"/>
          </w:rPr>
          <w:t>analyse des risques</w:t>
        </w:r>
      </w:hyperlink>
      <w:r w:rsidRPr="00B8190D">
        <w:rPr>
          <w:rFonts w:asciiTheme="majorBidi" w:eastAsia="Times New Roman" w:hAnsiTheme="majorBidi" w:cstheme="majorBidi"/>
          <w:color w:val="252525"/>
          <w:sz w:val="24"/>
          <w:szCs w:val="24"/>
          <w:lang w:val="fr-FR" w:eastAsia="fr-FR" w:bidi="ar-SA"/>
        </w:rPr>
        <w:t>. Cette analyse est </w:t>
      </w:r>
      <w:r>
        <w:rPr>
          <w:rFonts w:asciiTheme="majorBidi" w:eastAsia="Times New Roman" w:hAnsiTheme="majorBidi" w:cstheme="majorBidi"/>
          <w:color w:val="252525"/>
          <w:sz w:val="24"/>
          <w:szCs w:val="24"/>
          <w:lang w:val="fr-FR" w:eastAsia="fr-FR" w:bidi="ar-SA"/>
        </w:rPr>
        <w:t>f</w:t>
      </w:r>
      <w:r w:rsidRPr="00B8190D">
        <w:rPr>
          <w:rFonts w:asciiTheme="majorBidi" w:eastAsia="Times New Roman" w:hAnsiTheme="majorBidi" w:cstheme="majorBidi"/>
          <w:color w:val="252525"/>
          <w:sz w:val="24"/>
          <w:szCs w:val="24"/>
          <w:lang w:val="fr-FR" w:eastAsia="fr-FR" w:bidi="ar-SA"/>
        </w:rPr>
        <w:t>ondée sur les preuves scientifiques disponibles et elle est menée de manière indépendante, objective et transparente.</w:t>
      </w:r>
    </w:p>
    <w:p w:rsidR="006A3F31" w:rsidRPr="008F6201" w:rsidRDefault="006A3F31" w:rsidP="006A3F31">
      <w:pPr>
        <w:autoSpaceDE w:val="0"/>
        <w:autoSpaceDN w:val="0"/>
        <w:adjustRightInd w:val="0"/>
        <w:spacing w:after="0" w:line="360" w:lineRule="auto"/>
        <w:jc w:val="left"/>
        <w:rPr>
          <w:rFonts w:asciiTheme="majorBidi" w:hAnsiTheme="majorBidi" w:cstheme="majorBidi"/>
          <w:sz w:val="24"/>
          <w:szCs w:val="24"/>
          <w:lang w:val="fr-FR" w:bidi="ar-SA"/>
        </w:rPr>
      </w:pPr>
      <w:r w:rsidRPr="008F6201">
        <w:rPr>
          <w:rFonts w:asciiTheme="majorBidi" w:hAnsiTheme="majorBidi" w:cstheme="majorBidi"/>
          <w:sz w:val="24"/>
          <w:szCs w:val="24"/>
          <w:lang w:val="fr-FR" w:bidi="ar-SA"/>
        </w:rPr>
        <w:lastRenderedPageBreak/>
        <w:t>La prévention des intoxications alimentaires consiste à faire attention aux aliments que l'on consomme. Il</w:t>
      </w:r>
      <w:r>
        <w:rPr>
          <w:rFonts w:asciiTheme="majorBidi" w:hAnsiTheme="majorBidi" w:cstheme="majorBidi"/>
          <w:sz w:val="24"/>
          <w:szCs w:val="24"/>
          <w:lang w:val="fr-FR" w:bidi="ar-SA"/>
        </w:rPr>
        <w:t xml:space="preserve"> </w:t>
      </w:r>
      <w:r w:rsidRPr="008F6201">
        <w:rPr>
          <w:rFonts w:asciiTheme="majorBidi" w:hAnsiTheme="majorBidi" w:cstheme="majorBidi"/>
          <w:sz w:val="24"/>
          <w:szCs w:val="24"/>
          <w:lang w:val="fr-FR" w:bidi="ar-SA"/>
        </w:rPr>
        <w:t>faut notamment prêter une attention particulière à la fraicheur des œufs ou des crustacés et faire suffisamment cuire les viandes. De façon générale, il est important de respecter les règles d'hygiène, de</w:t>
      </w:r>
      <w:r>
        <w:rPr>
          <w:rFonts w:asciiTheme="majorBidi" w:hAnsiTheme="majorBidi" w:cstheme="majorBidi"/>
          <w:sz w:val="24"/>
          <w:szCs w:val="24"/>
          <w:lang w:val="fr-FR" w:bidi="ar-SA"/>
        </w:rPr>
        <w:t xml:space="preserve"> </w:t>
      </w:r>
      <w:r w:rsidRPr="008F6201">
        <w:rPr>
          <w:rFonts w:asciiTheme="majorBidi" w:hAnsiTheme="majorBidi" w:cstheme="majorBidi"/>
          <w:sz w:val="24"/>
          <w:szCs w:val="24"/>
          <w:lang w:val="fr-FR" w:bidi="ar-SA"/>
        </w:rPr>
        <w:t>préparation et de conservation des aliments, autant pour les industriels que pour les particuliers. Il faut</w:t>
      </w:r>
      <w:r>
        <w:rPr>
          <w:rFonts w:asciiTheme="majorBidi" w:hAnsiTheme="majorBidi" w:cstheme="majorBidi"/>
          <w:sz w:val="24"/>
          <w:szCs w:val="24"/>
          <w:lang w:val="fr-FR" w:bidi="ar-SA"/>
        </w:rPr>
        <w:t xml:space="preserve"> </w:t>
      </w:r>
      <w:r w:rsidRPr="008F6201">
        <w:rPr>
          <w:rFonts w:asciiTheme="majorBidi" w:hAnsiTheme="majorBidi" w:cstheme="majorBidi"/>
          <w:sz w:val="24"/>
          <w:szCs w:val="24"/>
          <w:lang w:val="fr-FR" w:bidi="ar-SA"/>
        </w:rPr>
        <w:t>parfois simplement être attentif à la date limite de consommation inscrite sur les emballages des aliments.</w:t>
      </w:r>
    </w:p>
    <w:p w:rsidR="006A3F31" w:rsidRDefault="006A3F31" w:rsidP="006A3F31">
      <w:pPr>
        <w:autoSpaceDE w:val="0"/>
        <w:autoSpaceDN w:val="0"/>
        <w:adjustRightInd w:val="0"/>
        <w:spacing w:after="0" w:line="360" w:lineRule="auto"/>
        <w:jc w:val="left"/>
        <w:rPr>
          <w:rFonts w:asciiTheme="majorBidi" w:hAnsiTheme="majorBidi" w:cstheme="majorBidi"/>
          <w:sz w:val="24"/>
          <w:szCs w:val="24"/>
          <w:lang w:val="fr-FR" w:bidi="ar-SA"/>
        </w:rPr>
      </w:pPr>
      <w:r w:rsidRPr="008F6201">
        <w:rPr>
          <w:rFonts w:asciiTheme="majorBidi" w:hAnsiTheme="majorBidi" w:cstheme="majorBidi"/>
          <w:sz w:val="24"/>
          <w:szCs w:val="24"/>
          <w:lang w:val="fr-FR" w:bidi="ar-SA"/>
        </w:rPr>
        <w:t>De même, il faut éviter de recongeler des aliments décongelés avant de les manger. Il faut aussi faire</w:t>
      </w:r>
      <w:r>
        <w:rPr>
          <w:rFonts w:asciiTheme="majorBidi" w:hAnsiTheme="majorBidi" w:cstheme="majorBidi"/>
          <w:sz w:val="24"/>
          <w:szCs w:val="24"/>
          <w:lang w:val="fr-FR" w:bidi="ar-SA"/>
        </w:rPr>
        <w:t xml:space="preserve"> </w:t>
      </w:r>
      <w:r w:rsidRPr="008F6201">
        <w:rPr>
          <w:rFonts w:asciiTheme="majorBidi" w:hAnsiTheme="majorBidi" w:cstheme="majorBidi"/>
          <w:sz w:val="24"/>
          <w:szCs w:val="24"/>
          <w:lang w:val="fr-FR" w:bidi="ar-SA"/>
        </w:rPr>
        <w:t>preuve d'une grande hygiène et s</w:t>
      </w:r>
      <w:r>
        <w:rPr>
          <w:rFonts w:asciiTheme="majorBidi" w:hAnsiTheme="majorBidi" w:cstheme="majorBidi"/>
          <w:sz w:val="24"/>
          <w:szCs w:val="24"/>
          <w:lang w:val="fr-FR" w:bidi="ar-SA"/>
        </w:rPr>
        <w:t>e laver régulièrement les mains.</w:t>
      </w:r>
    </w:p>
    <w:p w:rsidR="006A3F31" w:rsidRDefault="006A3F31" w:rsidP="006A3F31">
      <w:pPr>
        <w:autoSpaceDE w:val="0"/>
        <w:autoSpaceDN w:val="0"/>
        <w:adjustRightInd w:val="0"/>
        <w:spacing w:after="0" w:line="360" w:lineRule="auto"/>
        <w:jc w:val="left"/>
        <w:rPr>
          <w:rFonts w:asciiTheme="majorBidi" w:hAnsiTheme="majorBidi" w:cstheme="majorBidi"/>
          <w:sz w:val="24"/>
          <w:szCs w:val="24"/>
          <w:lang w:val="fr-FR" w:bidi="ar-SA"/>
        </w:rPr>
      </w:pPr>
    </w:p>
    <w:p w:rsidR="006A3F31" w:rsidRPr="006A3F31" w:rsidRDefault="006A3F31" w:rsidP="006A3F31">
      <w:pPr>
        <w:pStyle w:val="Default"/>
        <w:rPr>
          <w:rFonts w:asciiTheme="majorBidi" w:hAnsiTheme="majorBidi" w:cstheme="majorBidi"/>
          <w:b/>
          <w:bCs/>
          <w:i/>
          <w:iCs/>
          <w:color w:val="FF00FF"/>
        </w:rPr>
      </w:pPr>
      <w:r w:rsidRPr="006A3F31">
        <w:rPr>
          <w:rFonts w:asciiTheme="majorBidi" w:hAnsiTheme="majorBidi" w:cstheme="majorBidi"/>
          <w:b/>
          <w:bCs/>
          <w:i/>
          <w:iCs/>
          <w:color w:val="FF00FF"/>
        </w:rPr>
        <w:t>Conclusion</w:t>
      </w:r>
    </w:p>
    <w:p w:rsidR="006A3F31" w:rsidRPr="00AF5D5C" w:rsidRDefault="006A3F31" w:rsidP="006A3F31">
      <w:pPr>
        <w:pStyle w:val="Default"/>
        <w:rPr>
          <w:rFonts w:asciiTheme="majorBidi" w:hAnsiTheme="majorBidi" w:cstheme="majorBidi"/>
          <w:b/>
          <w:bCs/>
          <w:i/>
          <w:iCs/>
        </w:rPr>
      </w:pPr>
    </w:p>
    <w:p w:rsidR="006A3F31" w:rsidRPr="00AF5D5C" w:rsidRDefault="006A3F31" w:rsidP="006A3F31">
      <w:pPr>
        <w:pStyle w:val="Default"/>
        <w:spacing w:after="54" w:line="360" w:lineRule="auto"/>
        <w:rPr>
          <w:rFonts w:asciiTheme="majorBidi" w:hAnsiTheme="majorBidi" w:cstheme="majorBidi"/>
        </w:rPr>
      </w:pPr>
      <w:r w:rsidRPr="00AF5D5C">
        <w:rPr>
          <w:rFonts w:asciiTheme="majorBidi" w:hAnsiTheme="majorBidi" w:cstheme="majorBidi"/>
        </w:rPr>
        <w:t>Il est indispensable d’améliorer la formation et l’information des élèves, des consommateurs et des médias sur le thème de la sécurité alimentaire, en rappelant l’impérieuse nécessité de respecter les mesures d’hygiène personnelle et collective</w:t>
      </w:r>
    </w:p>
    <w:p w:rsidR="006A3F31" w:rsidRPr="00AF5D5C" w:rsidRDefault="006A3F31" w:rsidP="006A3F31">
      <w:pPr>
        <w:pStyle w:val="Default"/>
        <w:spacing w:after="57" w:line="360" w:lineRule="auto"/>
        <w:rPr>
          <w:rFonts w:asciiTheme="majorBidi" w:hAnsiTheme="majorBidi" w:cstheme="majorBidi"/>
        </w:rPr>
      </w:pPr>
      <w:r w:rsidRPr="00AF5D5C">
        <w:rPr>
          <w:rFonts w:asciiTheme="majorBidi" w:hAnsiTheme="majorBidi" w:cstheme="majorBidi"/>
        </w:rPr>
        <w:t xml:space="preserve">La nécessité d’évaluer </w:t>
      </w:r>
    </w:p>
    <w:p w:rsidR="006A3F31" w:rsidRPr="00AF5D5C" w:rsidRDefault="006A3F31" w:rsidP="006A3F31">
      <w:pPr>
        <w:pStyle w:val="Default"/>
        <w:spacing w:after="57" w:line="360" w:lineRule="auto"/>
        <w:rPr>
          <w:rFonts w:asciiTheme="majorBidi" w:hAnsiTheme="majorBidi" w:cstheme="majorBidi"/>
        </w:rPr>
      </w:pPr>
      <w:r w:rsidRPr="00AF5D5C">
        <w:rPr>
          <w:rFonts w:asciiTheme="majorBidi" w:hAnsiTheme="majorBidi" w:cstheme="majorBidi"/>
        </w:rPr>
        <w:t>*</w:t>
      </w:r>
      <w:r w:rsidRPr="00AF5D5C">
        <w:rPr>
          <w:rFonts w:asciiTheme="majorBidi" w:hAnsiTheme="majorBidi" w:cstheme="majorBidi"/>
        </w:rPr>
        <w:t xml:space="preserve">les risques chimiques liés aux contaminants alimentaires naturels par des études </w:t>
      </w:r>
      <w:r w:rsidRPr="00AF5D5C">
        <w:rPr>
          <w:rFonts w:asciiTheme="majorBidi" w:hAnsiTheme="majorBidi" w:cstheme="majorBidi"/>
          <w:i/>
          <w:iCs/>
        </w:rPr>
        <w:t>in vivo</w:t>
      </w:r>
      <w:r w:rsidRPr="00AF5D5C">
        <w:rPr>
          <w:rFonts w:asciiTheme="majorBidi" w:hAnsiTheme="majorBidi" w:cstheme="majorBidi"/>
        </w:rPr>
        <w:t xml:space="preserve">, </w:t>
      </w:r>
    </w:p>
    <w:p w:rsidR="006A3F31" w:rsidRPr="00AF5D5C" w:rsidRDefault="006A3F31" w:rsidP="006A3F31">
      <w:pPr>
        <w:pStyle w:val="Default"/>
        <w:spacing w:after="57" w:line="360" w:lineRule="auto"/>
        <w:rPr>
          <w:rFonts w:asciiTheme="majorBidi" w:hAnsiTheme="majorBidi" w:cstheme="majorBidi"/>
        </w:rPr>
      </w:pPr>
      <w:r w:rsidRPr="00AF5D5C">
        <w:rPr>
          <w:rFonts w:asciiTheme="majorBidi" w:hAnsiTheme="majorBidi" w:cstheme="majorBidi"/>
        </w:rPr>
        <w:t>*</w:t>
      </w:r>
      <w:r w:rsidRPr="00AF5D5C">
        <w:rPr>
          <w:rFonts w:asciiTheme="majorBidi" w:hAnsiTheme="majorBidi" w:cstheme="majorBidi"/>
        </w:rPr>
        <w:t xml:space="preserve">les risques chimiques liés aux substances dites « non intentionnelles » présentes ou néoformées dans les matériaux à contact alimentaire ou lors de la fabrication/préparation </w:t>
      </w:r>
    </w:p>
    <w:p w:rsidR="006A3F31" w:rsidRPr="00AF5D5C" w:rsidRDefault="006A3F31" w:rsidP="006A3F31">
      <w:pPr>
        <w:pStyle w:val="Default"/>
        <w:spacing w:line="360" w:lineRule="auto"/>
        <w:rPr>
          <w:rFonts w:asciiTheme="majorBidi" w:hAnsiTheme="majorBidi" w:cstheme="majorBidi"/>
        </w:rPr>
      </w:pPr>
      <w:r w:rsidRPr="00AF5D5C">
        <w:rPr>
          <w:rFonts w:asciiTheme="majorBidi" w:hAnsiTheme="majorBidi" w:cstheme="majorBidi"/>
        </w:rPr>
        <w:t xml:space="preserve">* De renforcer la surveillance des toxi-infections alimentaires </w:t>
      </w:r>
    </w:p>
    <w:p w:rsidR="006A3F31" w:rsidRPr="00AF5D5C" w:rsidRDefault="006A3F31" w:rsidP="006A3F31">
      <w:pPr>
        <w:pStyle w:val="Default"/>
        <w:spacing w:line="360" w:lineRule="auto"/>
        <w:rPr>
          <w:rFonts w:asciiTheme="majorBidi" w:hAnsiTheme="majorBidi" w:cstheme="majorBidi"/>
        </w:rPr>
      </w:pPr>
      <w:r w:rsidRPr="00AF5D5C">
        <w:rPr>
          <w:rFonts w:asciiTheme="majorBidi" w:hAnsiTheme="majorBidi" w:cstheme="majorBidi"/>
        </w:rPr>
        <w:t xml:space="preserve">* Urgence à construire et ou restaurer la confiance des consommateurs en garantissant une expertise scientifique indépendante, collective et contradictoire, la transparence sur les incertitudes scientifiques et les processus mis en œuvre par l’ensemble des parties prenantes tout au long de la chaîne alimentaire, « de la fourche à la fourchette ». </w:t>
      </w:r>
    </w:p>
    <w:p w:rsidR="00406DD6" w:rsidRPr="006A3F31" w:rsidRDefault="00406DD6">
      <w:pPr>
        <w:rPr>
          <w:lang w:val="fr-FR"/>
        </w:rPr>
      </w:pPr>
    </w:p>
    <w:sectPr w:rsidR="00406DD6" w:rsidRPr="006A3F31" w:rsidSect="00406DD6">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2AF" w:rsidRDefault="009522AF" w:rsidP="00EF35F3">
      <w:pPr>
        <w:spacing w:after="0" w:line="240" w:lineRule="auto"/>
      </w:pPr>
      <w:r>
        <w:separator/>
      </w:r>
    </w:p>
  </w:endnote>
  <w:endnote w:type="continuationSeparator" w:id="0">
    <w:p w:rsidR="009522AF" w:rsidRDefault="009522AF" w:rsidP="00EF3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626"/>
      <w:docPartObj>
        <w:docPartGallery w:val="Page Numbers (Bottom of Page)"/>
        <w:docPartUnique/>
      </w:docPartObj>
    </w:sdtPr>
    <w:sdtContent>
      <w:p w:rsidR="00EF35F3" w:rsidRDefault="00EF35F3">
        <w:pPr>
          <w:pStyle w:val="Pieddepage"/>
          <w:jc w:val="center"/>
        </w:pPr>
        <w:fldSimple w:instr=" PAGE   \* MERGEFORMAT ">
          <w:r>
            <w:rPr>
              <w:noProof/>
            </w:rPr>
            <w:t>3</w:t>
          </w:r>
        </w:fldSimple>
      </w:p>
    </w:sdtContent>
  </w:sdt>
  <w:p w:rsidR="00EF35F3" w:rsidRDefault="00EF35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2AF" w:rsidRDefault="009522AF" w:rsidP="00EF35F3">
      <w:pPr>
        <w:spacing w:after="0" w:line="240" w:lineRule="auto"/>
      </w:pPr>
      <w:r>
        <w:separator/>
      </w:r>
    </w:p>
  </w:footnote>
  <w:footnote w:type="continuationSeparator" w:id="0">
    <w:p w:rsidR="009522AF" w:rsidRDefault="009522AF" w:rsidP="00EF35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818EE"/>
    <w:multiLevelType w:val="hybridMultilevel"/>
    <w:tmpl w:val="F350E16C"/>
    <w:lvl w:ilvl="0" w:tplc="A70A93CE">
      <w:start w:val="4"/>
      <w:numFmt w:val="upperRoman"/>
      <w:lvlText w:val="%1."/>
      <w:lvlJc w:val="left"/>
      <w:pPr>
        <w:ind w:left="1582" w:hanging="720"/>
      </w:pPr>
      <w:rPr>
        <w:rFonts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1">
    <w:nsid w:val="36423A06"/>
    <w:multiLevelType w:val="hybridMultilevel"/>
    <w:tmpl w:val="DA30FFEE"/>
    <w:lvl w:ilvl="0" w:tplc="D892FF96">
      <w:start w:val="3"/>
      <w:numFmt w:val="upperRoman"/>
      <w:lvlText w:val="%1."/>
      <w:lvlJc w:val="left"/>
      <w:pPr>
        <w:ind w:left="862"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121B0F"/>
    <w:multiLevelType w:val="hybridMultilevel"/>
    <w:tmpl w:val="719C02DA"/>
    <w:lvl w:ilvl="0" w:tplc="55504138">
      <w:start w:val="5"/>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4B443C22"/>
    <w:multiLevelType w:val="hybridMultilevel"/>
    <w:tmpl w:val="CAF6D5E0"/>
    <w:lvl w:ilvl="0" w:tplc="E5CC5B30">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BFB3DF1"/>
    <w:multiLevelType w:val="hybridMultilevel"/>
    <w:tmpl w:val="A2343698"/>
    <w:lvl w:ilvl="0" w:tplc="0CC2A9A4">
      <w:start w:val="4"/>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A3F31"/>
    <w:rsid w:val="00406DD6"/>
    <w:rsid w:val="006A3F31"/>
    <w:rsid w:val="009522AF"/>
    <w:rsid w:val="00EF35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F31"/>
    <w:pPr>
      <w:jc w:val="both"/>
    </w:pPr>
    <w:rPr>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3F31"/>
    <w:pPr>
      <w:ind w:left="720"/>
      <w:contextualSpacing/>
    </w:pPr>
  </w:style>
  <w:style w:type="paragraph" w:customStyle="1" w:styleId="Default">
    <w:name w:val="Default"/>
    <w:rsid w:val="006A3F31"/>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EF35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35F3"/>
    <w:rPr>
      <w:sz w:val="20"/>
      <w:szCs w:val="20"/>
      <w:lang w:val="en-US" w:bidi="en-US"/>
    </w:rPr>
  </w:style>
  <w:style w:type="paragraph" w:styleId="Pieddepage">
    <w:name w:val="footer"/>
    <w:basedOn w:val="Normal"/>
    <w:link w:val="PieddepageCar"/>
    <w:uiPriority w:val="99"/>
    <w:unhideWhenUsed/>
    <w:rsid w:val="00EF35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35F3"/>
    <w:rPr>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oxicit%C3%A9" TargetMode="External"/><Relationship Id="rId13" Type="http://schemas.openxmlformats.org/officeDocument/2006/relationships/hyperlink" Target="https://fr.wikipedia.org/wiki/Sant%C3%A9_publique" TargetMode="External"/><Relationship Id="rId3" Type="http://schemas.openxmlformats.org/officeDocument/2006/relationships/settings" Target="settings.xml"/><Relationship Id="rId7" Type="http://schemas.openxmlformats.org/officeDocument/2006/relationships/hyperlink" Target="https://fr.wikipedia.org/wiki/Substance_chimique" TargetMode="External"/><Relationship Id="rId12" Type="http://schemas.openxmlformats.org/officeDocument/2006/relationships/hyperlink" Target="http://www.futura-sciences.com/fr/news/t/medecine/d/lencre-des-cartons-demballage-contamine-nos-aliments_336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3%89pid%C3%A9miolog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r.wikipedia.org/wiki/Phytosanitaire" TargetMode="External"/><Relationship Id="rId4" Type="http://schemas.openxmlformats.org/officeDocument/2006/relationships/webSettings" Target="webSettings.xml"/><Relationship Id="rId9" Type="http://schemas.openxmlformats.org/officeDocument/2006/relationships/hyperlink" Target="https://fr.wikipedia.org/wiki/Aliment" TargetMode="External"/><Relationship Id="rId14" Type="http://schemas.openxmlformats.org/officeDocument/2006/relationships/hyperlink" Target="https://fr.wikipedia.org/wiki/Analyse_des_risqu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1076</Words>
  <Characters>5920</Characters>
  <Application>Microsoft Office Word</Application>
  <DocSecurity>0</DocSecurity>
  <Lines>49</Lines>
  <Paragraphs>13</Paragraphs>
  <ScaleCrop>false</ScaleCrop>
  <Company>Sweet</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3</cp:revision>
  <dcterms:created xsi:type="dcterms:W3CDTF">2020-03-25T20:21:00Z</dcterms:created>
  <dcterms:modified xsi:type="dcterms:W3CDTF">2020-03-25T20:29:00Z</dcterms:modified>
</cp:coreProperties>
</file>