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2E0B" w:rsidRDefault="00742E0B" w:rsidP="007D5E46">
      <w:pPr>
        <w:spacing w:before="100" w:beforeAutospacing="1" w:after="100" w:afterAutospacing="1" w:line="360" w:lineRule="auto"/>
        <w:ind w:right="-15"/>
        <w:contextualSpacing/>
        <w:jc w:val="center"/>
        <w:rPr>
          <w:rFonts w:asciiTheme="majorBidi" w:hAnsiTheme="majorBidi" w:cstheme="majorBidi"/>
          <w:b/>
          <w:bCs/>
          <w:sz w:val="28"/>
          <w:szCs w:val="28"/>
        </w:rPr>
      </w:pPr>
      <w:bookmarkStart w:id="0" w:name="_GoBack"/>
      <w:bookmarkEnd w:id="0"/>
      <w:r w:rsidRPr="00742E0B">
        <w:rPr>
          <w:rFonts w:asciiTheme="majorBidi" w:hAnsiTheme="majorBidi" w:cstheme="majorBidi"/>
          <w:b/>
          <w:bCs/>
          <w:sz w:val="28"/>
          <w:szCs w:val="28"/>
        </w:rPr>
        <w:t>Diabète sucré</w:t>
      </w:r>
      <w:r w:rsidR="00003125">
        <w:rPr>
          <w:rFonts w:asciiTheme="majorBidi" w:hAnsiTheme="majorBidi" w:cstheme="majorBidi"/>
          <w:b/>
          <w:bCs/>
          <w:sz w:val="28"/>
          <w:szCs w:val="28"/>
        </w:rPr>
        <w:t> : paramètres biochimiques</w:t>
      </w:r>
    </w:p>
    <w:p w:rsidR="00003125" w:rsidRPr="00742E0B" w:rsidRDefault="00003125" w:rsidP="007D5E46">
      <w:pPr>
        <w:spacing w:before="100" w:beforeAutospacing="1" w:after="100" w:afterAutospacing="1" w:line="360" w:lineRule="auto"/>
        <w:ind w:right="-15"/>
        <w:contextualSpacing/>
        <w:jc w:val="center"/>
        <w:rPr>
          <w:rFonts w:asciiTheme="majorBidi" w:hAnsiTheme="majorBidi" w:cstheme="majorBidi"/>
          <w:b/>
          <w:bCs/>
          <w:sz w:val="28"/>
          <w:szCs w:val="28"/>
        </w:rPr>
      </w:pPr>
    </w:p>
    <w:p w:rsidR="00742E0B" w:rsidRPr="0084185B" w:rsidRDefault="00003125" w:rsidP="007D5E46">
      <w:pPr>
        <w:spacing w:before="100" w:beforeAutospacing="1" w:after="100" w:afterAutospacing="1" w:line="360" w:lineRule="auto"/>
        <w:ind w:right="-15"/>
        <w:contextualSpacing/>
        <w:jc w:val="both"/>
        <w:rPr>
          <w:rFonts w:asciiTheme="majorBidi" w:hAnsiTheme="majorBidi" w:cstheme="majorBidi"/>
          <w:b/>
          <w:bCs/>
          <w:sz w:val="24"/>
          <w:szCs w:val="24"/>
        </w:rPr>
      </w:pPr>
      <w:r>
        <w:rPr>
          <w:rFonts w:asciiTheme="majorBidi" w:hAnsiTheme="majorBidi" w:cstheme="majorBidi"/>
          <w:b/>
          <w:bCs/>
          <w:sz w:val="24"/>
          <w:szCs w:val="24"/>
        </w:rPr>
        <w:t>1. Bilan glycémique</w:t>
      </w:r>
      <w:r w:rsidR="00742E0B" w:rsidRPr="0084185B">
        <w:rPr>
          <w:rFonts w:asciiTheme="majorBidi" w:hAnsiTheme="majorBidi" w:cstheme="majorBidi"/>
          <w:b/>
          <w:bCs/>
          <w:sz w:val="24"/>
          <w:szCs w:val="24"/>
        </w:rPr>
        <w:t>:</w:t>
      </w:r>
    </w:p>
    <w:p w:rsidR="00742E0B" w:rsidRPr="00675810" w:rsidRDefault="00003125" w:rsidP="007D5E46">
      <w:pPr>
        <w:spacing w:before="100" w:beforeAutospacing="1" w:after="100" w:afterAutospacing="1" w:line="360" w:lineRule="auto"/>
        <w:jc w:val="both"/>
        <w:rPr>
          <w:rFonts w:asciiTheme="majorBidi" w:hAnsiTheme="majorBidi" w:cstheme="majorBidi"/>
          <w:b/>
          <w:bCs/>
          <w:sz w:val="24"/>
          <w:szCs w:val="24"/>
        </w:rPr>
      </w:pPr>
      <w:r w:rsidRPr="00675810">
        <w:rPr>
          <w:rFonts w:asciiTheme="majorBidi" w:hAnsiTheme="majorBidi" w:cstheme="majorBidi"/>
          <w:b/>
          <w:bCs/>
          <w:sz w:val="24"/>
          <w:szCs w:val="24"/>
        </w:rPr>
        <w:t xml:space="preserve">1.1. Glycémie : </w:t>
      </w:r>
    </w:p>
    <w:p w:rsidR="005B3F63" w:rsidRDefault="00DA5AEA" w:rsidP="007D5E46">
      <w:pPr>
        <w:spacing w:line="360" w:lineRule="auto"/>
        <w:jc w:val="both"/>
        <w:rPr>
          <w:rFonts w:asciiTheme="majorBidi" w:hAnsiTheme="majorBidi" w:cstheme="majorBidi"/>
          <w:color w:val="222222"/>
          <w:sz w:val="24"/>
          <w:szCs w:val="24"/>
          <w:shd w:val="clear" w:color="auto" w:fill="FFFFFF"/>
        </w:rPr>
      </w:pPr>
      <w:r>
        <w:rPr>
          <w:rFonts w:asciiTheme="majorBidi" w:hAnsiTheme="majorBidi" w:cstheme="majorBidi"/>
          <w:noProof/>
          <w:color w:val="222222"/>
          <w:sz w:val="24"/>
          <w:szCs w:val="24"/>
          <w:lang w:eastAsia="fr-FR"/>
        </w:rPr>
        <w:drawing>
          <wp:anchor distT="0" distB="0" distL="114300" distR="114300" simplePos="0" relativeHeight="251658240" behindDoc="1" locked="0" layoutInCell="1" allowOverlap="1">
            <wp:simplePos x="0" y="0"/>
            <wp:positionH relativeFrom="column">
              <wp:posOffset>654685</wp:posOffset>
            </wp:positionH>
            <wp:positionV relativeFrom="paragraph">
              <wp:posOffset>787400</wp:posOffset>
            </wp:positionV>
            <wp:extent cx="4216400" cy="1793875"/>
            <wp:effectExtent l="19050" t="0" r="0" b="0"/>
            <wp:wrapTight wrapText="bothSides">
              <wp:wrapPolygon edited="0">
                <wp:start x="-98" y="0"/>
                <wp:lineTo x="-98" y="21332"/>
                <wp:lineTo x="21567" y="21332"/>
                <wp:lineTo x="21567" y="0"/>
                <wp:lineTo x="-98" y="0"/>
              </wp:wrapPolygon>
            </wp:wrapTight>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r="1219"/>
                    <a:stretch>
                      <a:fillRect/>
                    </a:stretch>
                  </pic:blipFill>
                  <pic:spPr bwMode="auto">
                    <a:xfrm>
                      <a:off x="0" y="0"/>
                      <a:ext cx="4216400" cy="1793875"/>
                    </a:xfrm>
                    <a:prstGeom prst="rect">
                      <a:avLst/>
                    </a:prstGeom>
                    <a:noFill/>
                    <a:ln w="9525">
                      <a:noFill/>
                      <a:miter lim="800000"/>
                      <a:headEnd/>
                      <a:tailEnd/>
                    </a:ln>
                  </pic:spPr>
                </pic:pic>
              </a:graphicData>
            </a:graphic>
          </wp:anchor>
        </w:drawing>
      </w:r>
      <w:r w:rsidR="00003125" w:rsidRPr="00003125">
        <w:rPr>
          <w:rFonts w:asciiTheme="majorBidi" w:hAnsiTheme="majorBidi" w:cstheme="majorBidi"/>
          <w:color w:val="222222"/>
          <w:sz w:val="24"/>
          <w:szCs w:val="24"/>
          <w:shd w:val="clear" w:color="auto" w:fill="FFFFFF"/>
        </w:rPr>
        <w:t>La glycémie est le taux de glucose dans le sang, ou plus exactement dans le plasma sanguin. Elle est mesurée en général en millimoles de glucose par litre de sang, en milligramme de glucose par décilitre de sang, ou encore en gramme de glucose par litre de sang</w:t>
      </w:r>
      <w:r w:rsidR="00003125">
        <w:rPr>
          <w:rFonts w:asciiTheme="majorBidi" w:hAnsiTheme="majorBidi" w:cstheme="majorBidi"/>
          <w:color w:val="222222"/>
          <w:sz w:val="24"/>
          <w:szCs w:val="24"/>
          <w:shd w:val="clear" w:color="auto" w:fill="FFFFFF"/>
        </w:rPr>
        <w:t>.</w:t>
      </w:r>
      <w:r w:rsidR="00675810" w:rsidRPr="00675810">
        <w:rPr>
          <w:rFonts w:asciiTheme="majorBidi" w:hAnsiTheme="majorBidi" w:cstheme="majorBidi"/>
          <w:color w:val="222222"/>
          <w:sz w:val="24"/>
          <w:szCs w:val="24"/>
          <w:shd w:val="clear" w:color="auto" w:fill="FFFFFF"/>
        </w:rPr>
        <w:t xml:space="preserve"> </w:t>
      </w:r>
    </w:p>
    <w:p w:rsidR="00DA5AEA" w:rsidRDefault="00DA5AEA" w:rsidP="007D5E46">
      <w:pPr>
        <w:spacing w:line="360" w:lineRule="auto"/>
        <w:jc w:val="both"/>
        <w:rPr>
          <w:rFonts w:asciiTheme="majorBidi" w:hAnsiTheme="majorBidi" w:cstheme="majorBidi"/>
          <w:color w:val="222222"/>
          <w:sz w:val="24"/>
          <w:szCs w:val="24"/>
          <w:shd w:val="clear" w:color="auto" w:fill="FFFFFF"/>
        </w:rPr>
      </w:pPr>
    </w:p>
    <w:p w:rsidR="00DA5AEA" w:rsidRDefault="00DA5AEA" w:rsidP="007D5E46">
      <w:pPr>
        <w:spacing w:line="360" w:lineRule="auto"/>
        <w:jc w:val="both"/>
        <w:rPr>
          <w:rFonts w:asciiTheme="majorBidi" w:hAnsiTheme="majorBidi" w:cstheme="majorBidi"/>
          <w:color w:val="222222"/>
          <w:sz w:val="24"/>
          <w:szCs w:val="24"/>
          <w:shd w:val="clear" w:color="auto" w:fill="FFFFFF"/>
        </w:rPr>
      </w:pPr>
    </w:p>
    <w:p w:rsidR="00DA5AEA" w:rsidRDefault="00DA5AEA" w:rsidP="007D5E46">
      <w:pPr>
        <w:spacing w:line="360" w:lineRule="auto"/>
        <w:jc w:val="both"/>
        <w:rPr>
          <w:rFonts w:asciiTheme="majorBidi" w:hAnsiTheme="majorBidi" w:cstheme="majorBidi"/>
          <w:color w:val="222222"/>
          <w:sz w:val="24"/>
          <w:szCs w:val="24"/>
          <w:shd w:val="clear" w:color="auto" w:fill="FFFFFF"/>
        </w:rPr>
      </w:pPr>
    </w:p>
    <w:p w:rsidR="00DA5AEA" w:rsidRDefault="00DA5AEA" w:rsidP="007D5E46">
      <w:pPr>
        <w:spacing w:line="360" w:lineRule="auto"/>
        <w:jc w:val="both"/>
        <w:rPr>
          <w:rFonts w:asciiTheme="majorBidi" w:hAnsiTheme="majorBidi" w:cstheme="majorBidi"/>
          <w:color w:val="222222"/>
          <w:sz w:val="24"/>
          <w:szCs w:val="24"/>
          <w:shd w:val="clear" w:color="auto" w:fill="FFFFFF"/>
        </w:rPr>
      </w:pPr>
    </w:p>
    <w:p w:rsidR="00DA5AEA" w:rsidRDefault="00DA5AEA" w:rsidP="007D5E46">
      <w:pPr>
        <w:spacing w:line="360" w:lineRule="auto"/>
        <w:jc w:val="both"/>
        <w:rPr>
          <w:rFonts w:asciiTheme="majorBidi" w:hAnsiTheme="majorBidi" w:cstheme="majorBidi"/>
          <w:color w:val="222222"/>
          <w:sz w:val="24"/>
          <w:szCs w:val="24"/>
          <w:shd w:val="clear" w:color="auto" w:fill="FFFFFF"/>
        </w:rPr>
      </w:pPr>
    </w:p>
    <w:p w:rsidR="00675810" w:rsidRDefault="00675810" w:rsidP="007D5E46">
      <w:pPr>
        <w:spacing w:line="360" w:lineRule="auto"/>
        <w:jc w:val="both"/>
        <w:rPr>
          <w:rFonts w:asciiTheme="majorBidi" w:hAnsiTheme="majorBidi" w:cstheme="majorBidi"/>
          <w:color w:val="222222"/>
          <w:sz w:val="24"/>
          <w:szCs w:val="24"/>
          <w:shd w:val="clear" w:color="auto" w:fill="FFFFFF"/>
        </w:rPr>
      </w:pPr>
      <w:r w:rsidRPr="00675810">
        <w:rPr>
          <w:rFonts w:asciiTheme="majorBidi" w:hAnsiTheme="majorBidi" w:cstheme="majorBidi"/>
          <w:color w:val="222222"/>
          <w:sz w:val="24"/>
          <w:szCs w:val="24"/>
          <w:shd w:val="clear" w:color="auto" w:fill="FFFFFF"/>
        </w:rPr>
        <w:t>Si la glycémie est trop élevée, on parle d’</w:t>
      </w:r>
      <w:hyperlink r:id="rId8" w:tooltip="Hyperglycémie" w:history="1">
        <w:r w:rsidRPr="00675810">
          <w:rPr>
            <w:rFonts w:asciiTheme="majorBidi" w:hAnsiTheme="majorBidi" w:cstheme="majorBidi"/>
            <w:color w:val="222222"/>
            <w:sz w:val="24"/>
            <w:szCs w:val="24"/>
          </w:rPr>
          <w:t>hyperglycémie</w:t>
        </w:r>
      </w:hyperlink>
      <w:r w:rsidRPr="00675810">
        <w:rPr>
          <w:rFonts w:asciiTheme="majorBidi" w:hAnsiTheme="majorBidi" w:cstheme="majorBidi"/>
          <w:color w:val="222222"/>
          <w:sz w:val="24"/>
          <w:szCs w:val="24"/>
          <w:shd w:val="clear" w:color="auto" w:fill="FFFFFF"/>
        </w:rPr>
        <w:t>. Si elle est trop basse, on parle d'</w:t>
      </w:r>
      <w:hyperlink r:id="rId9" w:tooltip="Hypoglycémie" w:history="1">
        <w:r w:rsidRPr="00675810">
          <w:rPr>
            <w:rFonts w:asciiTheme="majorBidi" w:hAnsiTheme="majorBidi" w:cstheme="majorBidi"/>
            <w:color w:val="222222"/>
            <w:sz w:val="24"/>
            <w:szCs w:val="24"/>
          </w:rPr>
          <w:t>hypoglycémie</w:t>
        </w:r>
      </w:hyperlink>
      <w:r w:rsidRPr="00675810">
        <w:rPr>
          <w:rFonts w:asciiTheme="majorBidi" w:hAnsiTheme="majorBidi" w:cstheme="majorBidi"/>
          <w:color w:val="222222"/>
          <w:sz w:val="24"/>
          <w:szCs w:val="24"/>
          <w:shd w:val="clear" w:color="auto" w:fill="FFFFFF"/>
        </w:rPr>
        <w:t>.</w:t>
      </w:r>
    </w:p>
    <w:p w:rsidR="00DA5AEA" w:rsidRDefault="00DA5AEA" w:rsidP="007D5E46">
      <w:pPr>
        <w:spacing w:line="360" w:lineRule="auto"/>
        <w:jc w:val="both"/>
        <w:rPr>
          <w:rFonts w:asciiTheme="majorBidi" w:hAnsiTheme="majorBidi" w:cstheme="majorBidi"/>
          <w:color w:val="222222"/>
          <w:sz w:val="24"/>
          <w:szCs w:val="24"/>
          <w:shd w:val="clear" w:color="auto" w:fill="FFFFFF"/>
        </w:rPr>
      </w:pPr>
      <w:r>
        <w:rPr>
          <w:rFonts w:asciiTheme="majorBidi" w:hAnsiTheme="majorBidi" w:cstheme="majorBidi"/>
          <w:color w:val="222222"/>
          <w:sz w:val="24"/>
          <w:szCs w:val="24"/>
          <w:shd w:val="clear" w:color="auto" w:fill="FFFFFF"/>
        </w:rPr>
        <w:t>Les techniques de dosage de la glycémie se reposent sur la glucose oxydase.</w:t>
      </w:r>
    </w:p>
    <w:p w:rsidR="00DA5AEA" w:rsidRDefault="00DA5AEA" w:rsidP="007D5E46">
      <w:pPr>
        <w:spacing w:line="360" w:lineRule="auto"/>
        <w:jc w:val="both"/>
        <w:rPr>
          <w:rFonts w:asciiTheme="majorBidi" w:hAnsiTheme="majorBidi" w:cstheme="majorBidi"/>
          <w:b/>
          <w:bCs/>
          <w:color w:val="222222"/>
          <w:sz w:val="24"/>
          <w:szCs w:val="24"/>
          <w:shd w:val="clear" w:color="auto" w:fill="FFFFFF"/>
        </w:rPr>
      </w:pPr>
      <w:r w:rsidRPr="00DA5AEA">
        <w:rPr>
          <w:rFonts w:asciiTheme="majorBidi" w:hAnsiTheme="majorBidi" w:cstheme="majorBidi"/>
          <w:b/>
          <w:bCs/>
          <w:color w:val="222222"/>
          <w:sz w:val="24"/>
          <w:szCs w:val="24"/>
          <w:shd w:val="clear" w:color="auto" w:fill="FFFFFF"/>
        </w:rPr>
        <w:t xml:space="preserve">1.2. Hémoglobine glyquée : </w:t>
      </w:r>
    </w:p>
    <w:p w:rsidR="00C53DCB" w:rsidRDefault="00C53DCB" w:rsidP="007D5E46">
      <w:pPr>
        <w:autoSpaceDE w:val="0"/>
        <w:autoSpaceDN w:val="0"/>
        <w:adjustRightInd w:val="0"/>
        <w:spacing w:after="0" w:line="360" w:lineRule="auto"/>
        <w:jc w:val="both"/>
      </w:pPr>
      <w:r>
        <w:rPr>
          <w:rFonts w:asciiTheme="majorBidi" w:hAnsiTheme="majorBidi" w:cstheme="majorBidi"/>
          <w:noProof/>
          <w:color w:val="222222"/>
          <w:sz w:val="24"/>
          <w:szCs w:val="24"/>
          <w:lang w:eastAsia="fr-FR"/>
        </w:rPr>
        <w:drawing>
          <wp:anchor distT="0" distB="0" distL="114300" distR="114300" simplePos="0" relativeHeight="251661312" behindDoc="1" locked="0" layoutInCell="1" allowOverlap="1">
            <wp:simplePos x="0" y="0"/>
            <wp:positionH relativeFrom="column">
              <wp:posOffset>4387215</wp:posOffset>
            </wp:positionH>
            <wp:positionV relativeFrom="paragraph">
              <wp:posOffset>9525</wp:posOffset>
            </wp:positionV>
            <wp:extent cx="1322705" cy="2101215"/>
            <wp:effectExtent l="19050" t="19050" r="10795" b="13335"/>
            <wp:wrapTight wrapText="bothSides">
              <wp:wrapPolygon edited="0">
                <wp:start x="-311" y="-196"/>
                <wp:lineTo x="-311" y="21737"/>
                <wp:lineTo x="21776" y="21737"/>
                <wp:lineTo x="21776" y="-196"/>
                <wp:lineTo x="-311" y="-196"/>
              </wp:wrapPolygon>
            </wp:wrapTight>
            <wp:docPr id="7" name="Image 7" descr="https://www.commentguerir.com/wp-content/uploads/hba1c-thermomet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www.commentguerir.com/wp-content/uploads/hba1c-thermometre.jpg"/>
                    <pic:cNvPicPr>
                      <a:picLocks noChangeAspect="1" noChangeArrowheads="1"/>
                    </pic:cNvPicPr>
                  </pic:nvPicPr>
                  <pic:blipFill>
                    <a:blip r:embed="rId10"/>
                    <a:srcRect/>
                    <a:stretch>
                      <a:fillRect/>
                    </a:stretch>
                  </pic:blipFill>
                  <pic:spPr bwMode="auto">
                    <a:xfrm>
                      <a:off x="0" y="0"/>
                      <a:ext cx="1322705" cy="2101215"/>
                    </a:xfrm>
                    <a:prstGeom prst="rect">
                      <a:avLst/>
                    </a:prstGeom>
                    <a:noFill/>
                    <a:ln w="9525">
                      <a:solidFill>
                        <a:schemeClr val="tx1"/>
                      </a:solidFill>
                      <a:miter lim="800000"/>
                      <a:headEnd/>
                      <a:tailEnd/>
                    </a:ln>
                  </pic:spPr>
                </pic:pic>
              </a:graphicData>
            </a:graphic>
          </wp:anchor>
        </w:drawing>
      </w:r>
      <w:r w:rsidR="00DA5AEA" w:rsidRPr="00DA5AEA">
        <w:rPr>
          <w:rFonts w:asciiTheme="majorBidi" w:hAnsiTheme="majorBidi" w:cstheme="majorBidi"/>
          <w:color w:val="222222"/>
          <w:sz w:val="24"/>
          <w:szCs w:val="24"/>
          <w:shd w:val="clear" w:color="auto" w:fill="FFFFFF"/>
        </w:rPr>
        <w:t>L'hémoglobine glyquée est un paramètre essentiel dans le suivi du diabète, il permet</w:t>
      </w:r>
      <w:r w:rsidR="00DA5AEA">
        <w:rPr>
          <w:rFonts w:asciiTheme="majorBidi" w:hAnsiTheme="majorBidi" w:cstheme="majorBidi"/>
          <w:color w:val="222222"/>
          <w:sz w:val="24"/>
          <w:szCs w:val="24"/>
          <w:shd w:val="clear" w:color="auto" w:fill="FFFFFF"/>
        </w:rPr>
        <w:t xml:space="preserve"> </w:t>
      </w:r>
      <w:r w:rsidR="00DA5AEA" w:rsidRPr="00DA5AEA">
        <w:rPr>
          <w:rFonts w:asciiTheme="majorBidi" w:hAnsiTheme="majorBidi" w:cstheme="majorBidi"/>
          <w:color w:val="222222"/>
          <w:sz w:val="24"/>
          <w:szCs w:val="24"/>
          <w:shd w:val="clear" w:color="auto" w:fill="FFFFFF"/>
        </w:rPr>
        <w:t>d'esti</w:t>
      </w:r>
      <w:r w:rsidR="00DA5AEA">
        <w:rPr>
          <w:rFonts w:asciiTheme="majorBidi" w:hAnsiTheme="majorBidi" w:cstheme="majorBidi"/>
          <w:color w:val="222222"/>
          <w:sz w:val="24"/>
          <w:szCs w:val="24"/>
          <w:shd w:val="clear" w:color="auto" w:fill="FFFFFF"/>
        </w:rPr>
        <w:t>mer le risque de complications.</w:t>
      </w:r>
      <w:r w:rsidR="00DA5AEA" w:rsidRPr="00DA5AEA">
        <w:rPr>
          <w:rFonts w:asciiTheme="majorBidi" w:hAnsiTheme="majorBidi" w:cstheme="majorBidi"/>
          <w:color w:val="222222"/>
          <w:sz w:val="24"/>
          <w:szCs w:val="24"/>
          <w:shd w:val="clear" w:color="auto" w:fill="FFFFFF"/>
        </w:rPr>
        <w:t xml:space="preserve"> C’est la protéine qui permet le</w:t>
      </w:r>
      <w:r w:rsidR="00DA5AEA">
        <w:rPr>
          <w:rFonts w:asciiTheme="majorBidi" w:hAnsiTheme="majorBidi" w:cstheme="majorBidi"/>
          <w:color w:val="222222"/>
          <w:sz w:val="24"/>
          <w:szCs w:val="24"/>
          <w:shd w:val="clear" w:color="auto" w:fill="FFFFFF"/>
        </w:rPr>
        <w:t xml:space="preserve"> </w:t>
      </w:r>
      <w:r w:rsidR="00DA5AEA" w:rsidRPr="00DA5AEA">
        <w:rPr>
          <w:rFonts w:asciiTheme="majorBidi" w:hAnsiTheme="majorBidi" w:cstheme="majorBidi"/>
          <w:color w:val="222222"/>
          <w:sz w:val="24"/>
          <w:szCs w:val="24"/>
          <w:shd w:val="clear" w:color="auto" w:fill="FFFFFF"/>
        </w:rPr>
        <w:t>transport de l'oxygène par les globules rouges, elle est définie par la fixation lente et</w:t>
      </w:r>
      <w:r w:rsidR="00DA5AEA">
        <w:rPr>
          <w:rFonts w:asciiTheme="majorBidi" w:hAnsiTheme="majorBidi" w:cstheme="majorBidi"/>
          <w:color w:val="222222"/>
          <w:sz w:val="24"/>
          <w:szCs w:val="24"/>
          <w:shd w:val="clear" w:color="auto" w:fill="FFFFFF"/>
        </w:rPr>
        <w:t xml:space="preserve"> </w:t>
      </w:r>
      <w:r w:rsidR="00DA5AEA" w:rsidRPr="00DA5AEA">
        <w:rPr>
          <w:rFonts w:asciiTheme="majorBidi" w:hAnsiTheme="majorBidi" w:cstheme="majorBidi"/>
          <w:color w:val="222222"/>
          <w:sz w:val="24"/>
          <w:szCs w:val="24"/>
          <w:shd w:val="clear" w:color="auto" w:fill="FFFFFF"/>
        </w:rPr>
        <w:t xml:space="preserve">irréversible d’un glucose </w:t>
      </w:r>
      <w:r>
        <w:rPr>
          <w:rFonts w:asciiTheme="majorBidi" w:hAnsiTheme="majorBidi" w:cstheme="majorBidi"/>
          <w:color w:val="222222"/>
          <w:sz w:val="24"/>
          <w:szCs w:val="24"/>
          <w:shd w:val="clear" w:color="auto" w:fill="FFFFFF"/>
        </w:rPr>
        <w:t>a</w:t>
      </w:r>
      <w:r w:rsidR="00DA5AEA" w:rsidRPr="00DA5AEA">
        <w:rPr>
          <w:rFonts w:asciiTheme="majorBidi" w:hAnsiTheme="majorBidi" w:cstheme="majorBidi"/>
          <w:color w:val="222222"/>
          <w:sz w:val="24"/>
          <w:szCs w:val="24"/>
          <w:shd w:val="clear" w:color="auto" w:fill="FFFFFF"/>
        </w:rPr>
        <w:t>ux chaînes</w:t>
      </w:r>
      <w:r>
        <w:rPr>
          <w:rFonts w:asciiTheme="majorBidi" w:hAnsiTheme="majorBidi" w:cstheme="majorBidi"/>
          <w:color w:val="222222"/>
          <w:sz w:val="24"/>
          <w:szCs w:val="24"/>
          <w:shd w:val="clear" w:color="auto" w:fill="FFFFFF"/>
        </w:rPr>
        <w:t xml:space="preserve"> </w:t>
      </w:r>
      <w:r w:rsidR="00DA5AEA" w:rsidRPr="00DA5AEA">
        <w:rPr>
          <w:rFonts w:asciiTheme="majorBidi" w:hAnsiTheme="majorBidi" w:cstheme="majorBidi"/>
          <w:color w:val="222222"/>
          <w:sz w:val="24"/>
          <w:szCs w:val="24"/>
          <w:shd w:val="clear" w:color="auto" w:fill="FFFFFF"/>
        </w:rPr>
        <w:t>de</w:t>
      </w:r>
      <w:r w:rsidR="00DA5AEA">
        <w:rPr>
          <w:rFonts w:asciiTheme="majorBidi" w:hAnsiTheme="majorBidi" w:cstheme="majorBidi"/>
          <w:color w:val="222222"/>
          <w:sz w:val="24"/>
          <w:szCs w:val="24"/>
          <w:shd w:val="clear" w:color="auto" w:fill="FFFFFF"/>
        </w:rPr>
        <w:t xml:space="preserve"> </w:t>
      </w:r>
      <w:r w:rsidR="00DA5AEA" w:rsidRPr="00DA5AEA">
        <w:rPr>
          <w:rFonts w:asciiTheme="majorBidi" w:hAnsiTheme="majorBidi" w:cstheme="majorBidi"/>
          <w:color w:val="222222"/>
          <w:sz w:val="24"/>
          <w:szCs w:val="24"/>
          <w:shd w:val="clear" w:color="auto" w:fill="FFFFFF"/>
        </w:rPr>
        <w:t>l’hé</w:t>
      </w:r>
      <w:r>
        <w:rPr>
          <w:rFonts w:asciiTheme="majorBidi" w:hAnsiTheme="majorBidi" w:cstheme="majorBidi"/>
          <w:color w:val="222222"/>
          <w:sz w:val="24"/>
          <w:szCs w:val="24"/>
          <w:shd w:val="clear" w:color="auto" w:fill="FFFFFF"/>
        </w:rPr>
        <w:t>moglobine A (HbA)</w:t>
      </w:r>
      <w:r w:rsidR="00DA5AEA" w:rsidRPr="00DA5AEA">
        <w:rPr>
          <w:rFonts w:asciiTheme="majorBidi" w:hAnsiTheme="majorBidi" w:cstheme="majorBidi"/>
          <w:color w:val="222222"/>
          <w:sz w:val="24"/>
          <w:szCs w:val="24"/>
          <w:shd w:val="clear" w:color="auto" w:fill="FFFFFF"/>
        </w:rPr>
        <w:t>.</w:t>
      </w:r>
      <w:r w:rsidR="00DA5AEA" w:rsidRPr="00DA5AEA">
        <w:t xml:space="preserve"> </w:t>
      </w:r>
    </w:p>
    <w:p w:rsidR="00DA5AEA" w:rsidRDefault="00DA5AEA" w:rsidP="007D5E46">
      <w:pPr>
        <w:autoSpaceDE w:val="0"/>
        <w:autoSpaceDN w:val="0"/>
        <w:adjustRightInd w:val="0"/>
        <w:spacing w:after="0" w:line="360" w:lineRule="auto"/>
        <w:jc w:val="both"/>
        <w:rPr>
          <w:rFonts w:asciiTheme="majorBidi" w:hAnsiTheme="majorBidi" w:cstheme="majorBidi"/>
          <w:color w:val="222222"/>
          <w:sz w:val="24"/>
          <w:szCs w:val="24"/>
          <w:shd w:val="clear" w:color="auto" w:fill="FFFFFF"/>
        </w:rPr>
      </w:pPr>
      <w:r w:rsidRPr="00DA5AEA">
        <w:rPr>
          <w:rFonts w:asciiTheme="majorBidi" w:hAnsiTheme="majorBidi" w:cstheme="majorBidi"/>
          <w:color w:val="222222"/>
          <w:sz w:val="24"/>
          <w:szCs w:val="24"/>
          <w:shd w:val="clear" w:color="auto" w:fill="FFFFFF"/>
        </w:rPr>
        <w:t>Il a été démontré que la quantité d'HbA1c était directement proportionnelle à la quantité</w:t>
      </w:r>
      <w:r>
        <w:rPr>
          <w:rFonts w:asciiTheme="majorBidi" w:hAnsiTheme="majorBidi" w:cstheme="majorBidi"/>
          <w:color w:val="222222"/>
          <w:sz w:val="24"/>
          <w:szCs w:val="24"/>
          <w:shd w:val="clear" w:color="auto" w:fill="FFFFFF"/>
        </w:rPr>
        <w:t xml:space="preserve"> </w:t>
      </w:r>
      <w:r w:rsidRPr="00DA5AEA">
        <w:rPr>
          <w:rFonts w:asciiTheme="majorBidi" w:hAnsiTheme="majorBidi" w:cstheme="majorBidi"/>
          <w:color w:val="222222"/>
          <w:sz w:val="24"/>
          <w:szCs w:val="24"/>
          <w:shd w:val="clear" w:color="auto" w:fill="FFFFFF"/>
        </w:rPr>
        <w:t>de glucose</w:t>
      </w:r>
      <w:r w:rsidR="00C53DCB">
        <w:rPr>
          <w:rFonts w:asciiTheme="majorBidi" w:hAnsiTheme="majorBidi" w:cstheme="majorBidi"/>
          <w:color w:val="222222"/>
          <w:sz w:val="24"/>
          <w:szCs w:val="24"/>
          <w:shd w:val="clear" w:color="auto" w:fill="FFFFFF"/>
        </w:rPr>
        <w:t xml:space="preserve"> </w:t>
      </w:r>
      <w:r w:rsidRPr="00DA5AEA">
        <w:rPr>
          <w:rFonts w:asciiTheme="majorBidi" w:hAnsiTheme="majorBidi" w:cstheme="majorBidi"/>
          <w:color w:val="222222"/>
          <w:sz w:val="24"/>
          <w:szCs w:val="24"/>
          <w:shd w:val="clear" w:color="auto" w:fill="FFFFFF"/>
        </w:rPr>
        <w:t>présente dans le sang et que la molécule de glucose restait liée à l'hémoglobine</w:t>
      </w:r>
      <w:r>
        <w:rPr>
          <w:rFonts w:asciiTheme="majorBidi" w:hAnsiTheme="majorBidi" w:cstheme="majorBidi"/>
          <w:color w:val="222222"/>
          <w:sz w:val="24"/>
          <w:szCs w:val="24"/>
          <w:shd w:val="clear" w:color="auto" w:fill="FFFFFF"/>
        </w:rPr>
        <w:t xml:space="preserve"> </w:t>
      </w:r>
      <w:r w:rsidRPr="00DA5AEA">
        <w:rPr>
          <w:rFonts w:asciiTheme="majorBidi" w:hAnsiTheme="majorBidi" w:cstheme="majorBidi"/>
          <w:color w:val="222222"/>
          <w:sz w:val="24"/>
          <w:szCs w:val="24"/>
          <w:shd w:val="clear" w:color="auto" w:fill="FFFFFF"/>
        </w:rPr>
        <w:t>pendant toute la durée de</w:t>
      </w:r>
      <w:r w:rsidR="00C53DCB">
        <w:rPr>
          <w:rFonts w:asciiTheme="majorBidi" w:hAnsiTheme="majorBidi" w:cstheme="majorBidi"/>
          <w:color w:val="222222"/>
          <w:sz w:val="24"/>
          <w:szCs w:val="24"/>
          <w:shd w:val="clear" w:color="auto" w:fill="FFFFFF"/>
        </w:rPr>
        <w:t xml:space="preserve"> </w:t>
      </w:r>
      <w:r w:rsidRPr="00DA5AEA">
        <w:rPr>
          <w:rFonts w:asciiTheme="majorBidi" w:hAnsiTheme="majorBidi" w:cstheme="majorBidi"/>
          <w:color w:val="222222"/>
          <w:sz w:val="24"/>
          <w:szCs w:val="24"/>
          <w:shd w:val="clear" w:color="auto" w:fill="FFFFFF"/>
        </w:rPr>
        <w:t>vie du globule rouge (environ 3 mois). Ainsi, la mesure de l'HbA1c</w:t>
      </w:r>
      <w:r>
        <w:rPr>
          <w:rFonts w:asciiTheme="majorBidi" w:hAnsiTheme="majorBidi" w:cstheme="majorBidi"/>
          <w:color w:val="222222"/>
          <w:sz w:val="24"/>
          <w:szCs w:val="24"/>
          <w:shd w:val="clear" w:color="auto" w:fill="FFFFFF"/>
        </w:rPr>
        <w:t xml:space="preserve"> </w:t>
      </w:r>
      <w:r w:rsidRPr="00DA5AEA">
        <w:rPr>
          <w:rFonts w:asciiTheme="majorBidi" w:hAnsiTheme="majorBidi" w:cstheme="majorBidi"/>
          <w:color w:val="222222"/>
          <w:sz w:val="24"/>
          <w:szCs w:val="24"/>
          <w:shd w:val="clear" w:color="auto" w:fill="FFFFFF"/>
        </w:rPr>
        <w:t>reflète la glycémie moyenne d'une</w:t>
      </w:r>
      <w:r w:rsidR="00C53DCB">
        <w:rPr>
          <w:rFonts w:asciiTheme="majorBidi" w:hAnsiTheme="majorBidi" w:cstheme="majorBidi"/>
          <w:color w:val="222222"/>
          <w:sz w:val="24"/>
          <w:szCs w:val="24"/>
          <w:shd w:val="clear" w:color="auto" w:fill="FFFFFF"/>
        </w:rPr>
        <w:t xml:space="preserve"> </w:t>
      </w:r>
      <w:r w:rsidRPr="00DA5AEA">
        <w:rPr>
          <w:rFonts w:asciiTheme="majorBidi" w:hAnsiTheme="majorBidi" w:cstheme="majorBidi"/>
          <w:color w:val="222222"/>
          <w:sz w:val="24"/>
          <w:szCs w:val="24"/>
          <w:shd w:val="clear" w:color="auto" w:fill="FFFFFF"/>
        </w:rPr>
        <w:t>per</w:t>
      </w:r>
      <w:r w:rsidR="00C53DCB">
        <w:rPr>
          <w:rFonts w:asciiTheme="majorBidi" w:hAnsiTheme="majorBidi" w:cstheme="majorBidi"/>
          <w:color w:val="222222"/>
          <w:sz w:val="24"/>
          <w:szCs w:val="24"/>
          <w:shd w:val="clear" w:color="auto" w:fill="FFFFFF"/>
        </w:rPr>
        <w:t>sonne au cours de cette période</w:t>
      </w:r>
      <w:r w:rsidRPr="00DA5AEA">
        <w:rPr>
          <w:rFonts w:asciiTheme="majorBidi" w:hAnsiTheme="majorBidi" w:cstheme="majorBidi"/>
          <w:color w:val="222222"/>
          <w:sz w:val="24"/>
          <w:szCs w:val="24"/>
          <w:shd w:val="clear" w:color="auto" w:fill="FFFFFF"/>
        </w:rPr>
        <w:t>.</w:t>
      </w:r>
    </w:p>
    <w:p w:rsidR="00C53DCB" w:rsidRDefault="00C53DCB" w:rsidP="007D5E46">
      <w:pPr>
        <w:autoSpaceDE w:val="0"/>
        <w:autoSpaceDN w:val="0"/>
        <w:adjustRightInd w:val="0"/>
        <w:spacing w:after="0" w:line="360" w:lineRule="auto"/>
        <w:jc w:val="both"/>
        <w:rPr>
          <w:rFonts w:asciiTheme="majorBidi" w:hAnsiTheme="majorBidi" w:cstheme="majorBidi"/>
          <w:color w:val="222222"/>
          <w:sz w:val="24"/>
          <w:szCs w:val="24"/>
          <w:shd w:val="clear" w:color="auto" w:fill="FFFFFF"/>
        </w:rPr>
      </w:pPr>
    </w:p>
    <w:p w:rsidR="00C53DCB" w:rsidRDefault="00C53DCB" w:rsidP="007D5E46">
      <w:pPr>
        <w:autoSpaceDE w:val="0"/>
        <w:autoSpaceDN w:val="0"/>
        <w:adjustRightInd w:val="0"/>
        <w:spacing w:after="0" w:line="360" w:lineRule="auto"/>
        <w:jc w:val="both"/>
        <w:rPr>
          <w:rFonts w:asciiTheme="majorBidi" w:hAnsiTheme="majorBidi" w:cstheme="majorBidi"/>
          <w:color w:val="222222"/>
          <w:sz w:val="24"/>
          <w:szCs w:val="24"/>
          <w:shd w:val="clear" w:color="auto" w:fill="FFFFFF"/>
        </w:rPr>
      </w:pPr>
    </w:p>
    <w:p w:rsidR="00C53DCB" w:rsidRDefault="00C53DCB" w:rsidP="007D5E46">
      <w:pPr>
        <w:autoSpaceDE w:val="0"/>
        <w:autoSpaceDN w:val="0"/>
        <w:adjustRightInd w:val="0"/>
        <w:spacing w:after="0" w:line="360" w:lineRule="auto"/>
        <w:jc w:val="both"/>
        <w:rPr>
          <w:rFonts w:asciiTheme="majorBidi" w:hAnsiTheme="majorBidi" w:cstheme="majorBidi"/>
          <w:color w:val="222222"/>
          <w:sz w:val="24"/>
          <w:szCs w:val="24"/>
          <w:shd w:val="clear" w:color="auto" w:fill="FFFFFF"/>
        </w:rPr>
      </w:pPr>
    </w:p>
    <w:p w:rsidR="00C53DCB" w:rsidRDefault="002D5B74" w:rsidP="007D5E46">
      <w:pPr>
        <w:autoSpaceDE w:val="0"/>
        <w:autoSpaceDN w:val="0"/>
        <w:adjustRightInd w:val="0"/>
        <w:spacing w:after="0" w:line="360" w:lineRule="auto"/>
        <w:jc w:val="both"/>
        <w:rPr>
          <w:rFonts w:asciiTheme="majorBidi" w:hAnsiTheme="majorBidi" w:cstheme="majorBidi"/>
          <w:color w:val="222222"/>
          <w:sz w:val="24"/>
          <w:szCs w:val="24"/>
          <w:shd w:val="clear" w:color="auto" w:fill="FFFFFF"/>
        </w:rPr>
      </w:pPr>
      <w:r>
        <w:rPr>
          <w:rFonts w:asciiTheme="majorBidi" w:hAnsiTheme="majorBidi" w:cstheme="majorBidi"/>
          <w:noProof/>
          <w:color w:val="222222"/>
          <w:sz w:val="24"/>
          <w:szCs w:val="24"/>
          <w:lang w:eastAsia="fr-FR"/>
        </w:rPr>
        <w:lastRenderedPageBreak/>
        <w:drawing>
          <wp:anchor distT="0" distB="0" distL="114300" distR="114300" simplePos="0" relativeHeight="251660288" behindDoc="1" locked="0" layoutInCell="1" allowOverlap="1">
            <wp:simplePos x="0" y="0"/>
            <wp:positionH relativeFrom="column">
              <wp:posOffset>101600</wp:posOffset>
            </wp:positionH>
            <wp:positionV relativeFrom="paragraph">
              <wp:posOffset>109855</wp:posOffset>
            </wp:positionV>
            <wp:extent cx="5847080" cy="3875405"/>
            <wp:effectExtent l="19050" t="0" r="1270" b="0"/>
            <wp:wrapSquare wrapText="bothSides"/>
            <wp:docPr id="2" name="Image 4" descr="https://ars.els-cdn.com/content/image/1-s2.0-S1957255713707004-gr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ars.els-cdn.com/content/image/1-s2.0-S1957255713707004-gr1.jpg"/>
                    <pic:cNvPicPr>
                      <a:picLocks noChangeAspect="1" noChangeArrowheads="1"/>
                    </pic:cNvPicPr>
                  </pic:nvPicPr>
                  <pic:blipFill>
                    <a:blip r:embed="rId11"/>
                    <a:srcRect/>
                    <a:stretch>
                      <a:fillRect/>
                    </a:stretch>
                  </pic:blipFill>
                  <pic:spPr bwMode="auto">
                    <a:xfrm>
                      <a:off x="0" y="0"/>
                      <a:ext cx="5847080" cy="3875405"/>
                    </a:xfrm>
                    <a:prstGeom prst="rect">
                      <a:avLst/>
                    </a:prstGeom>
                    <a:noFill/>
                    <a:ln w="9525">
                      <a:noFill/>
                      <a:miter lim="800000"/>
                      <a:headEnd/>
                      <a:tailEnd/>
                    </a:ln>
                  </pic:spPr>
                </pic:pic>
              </a:graphicData>
            </a:graphic>
          </wp:anchor>
        </w:drawing>
      </w:r>
    </w:p>
    <w:p w:rsidR="00C53DCB" w:rsidRDefault="00C5721B" w:rsidP="007D5E46">
      <w:pPr>
        <w:autoSpaceDE w:val="0"/>
        <w:autoSpaceDN w:val="0"/>
        <w:adjustRightInd w:val="0"/>
        <w:spacing w:after="0" w:line="360" w:lineRule="auto"/>
        <w:jc w:val="both"/>
        <w:rPr>
          <w:rFonts w:asciiTheme="majorBidi" w:hAnsiTheme="majorBidi" w:cstheme="majorBidi"/>
          <w:color w:val="222222"/>
          <w:sz w:val="24"/>
          <w:szCs w:val="24"/>
          <w:shd w:val="clear" w:color="auto" w:fill="FFFFFF"/>
        </w:rPr>
      </w:pPr>
      <w:r>
        <w:rPr>
          <w:rFonts w:asciiTheme="majorBidi" w:hAnsiTheme="majorBidi" w:cstheme="majorBidi"/>
          <w:color w:val="222222"/>
          <w:sz w:val="24"/>
          <w:szCs w:val="24"/>
          <w:shd w:val="clear" w:color="auto" w:fill="FFFFFF"/>
        </w:rPr>
        <w:t>Plusieurs techniques sont utilisées pour le dosage de l’hémoglobine glyquée dont le plus importante est celle basée sur une chromatographie d’affinité qui utilise des anticorps spécifique pour HbA1c.</w:t>
      </w:r>
    </w:p>
    <w:p w:rsidR="00C53DCB" w:rsidRDefault="002D5B74" w:rsidP="007D5E46">
      <w:pPr>
        <w:autoSpaceDE w:val="0"/>
        <w:autoSpaceDN w:val="0"/>
        <w:adjustRightInd w:val="0"/>
        <w:spacing w:after="0" w:line="360" w:lineRule="auto"/>
        <w:jc w:val="both"/>
        <w:rPr>
          <w:rFonts w:asciiTheme="majorBidi" w:hAnsiTheme="majorBidi" w:cstheme="majorBidi"/>
          <w:color w:val="222222"/>
          <w:sz w:val="24"/>
          <w:szCs w:val="24"/>
          <w:shd w:val="clear" w:color="auto" w:fill="FFFFFF"/>
        </w:rPr>
      </w:pPr>
      <w:r w:rsidRPr="002D5B74">
        <w:rPr>
          <w:rFonts w:asciiTheme="majorBidi" w:hAnsiTheme="majorBidi" w:cstheme="majorBidi"/>
          <w:b/>
          <w:bCs/>
          <w:color w:val="222222"/>
          <w:sz w:val="24"/>
          <w:szCs w:val="24"/>
          <w:shd w:val="clear" w:color="auto" w:fill="FFFFFF"/>
        </w:rPr>
        <w:t>2.</w:t>
      </w:r>
      <w:r>
        <w:rPr>
          <w:rFonts w:asciiTheme="majorBidi" w:hAnsiTheme="majorBidi" w:cstheme="majorBidi"/>
          <w:color w:val="222222"/>
          <w:sz w:val="24"/>
          <w:szCs w:val="24"/>
          <w:shd w:val="clear" w:color="auto" w:fill="FFFFFF"/>
        </w:rPr>
        <w:t xml:space="preserve"> </w:t>
      </w:r>
      <w:r w:rsidRPr="002D5B74">
        <w:rPr>
          <w:rFonts w:asciiTheme="majorBidi" w:hAnsiTheme="majorBidi" w:cstheme="majorBidi"/>
          <w:b/>
          <w:bCs/>
          <w:color w:val="222222"/>
          <w:sz w:val="24"/>
          <w:szCs w:val="24"/>
          <w:shd w:val="clear" w:color="auto" w:fill="FFFFFF"/>
        </w:rPr>
        <w:t>Microalbuminurie</w:t>
      </w:r>
      <w:r>
        <w:rPr>
          <w:rFonts w:asciiTheme="majorBidi" w:hAnsiTheme="majorBidi" w:cstheme="majorBidi"/>
          <w:color w:val="222222"/>
          <w:sz w:val="24"/>
          <w:szCs w:val="24"/>
          <w:shd w:val="clear" w:color="auto" w:fill="FFFFFF"/>
        </w:rPr>
        <w:t xml:space="preserve"> : </w:t>
      </w:r>
    </w:p>
    <w:p w:rsidR="002D5B74" w:rsidRDefault="0015770A" w:rsidP="007D5E46">
      <w:pPr>
        <w:autoSpaceDE w:val="0"/>
        <w:autoSpaceDN w:val="0"/>
        <w:adjustRightInd w:val="0"/>
        <w:spacing w:after="0" w:line="360" w:lineRule="auto"/>
        <w:jc w:val="both"/>
        <w:rPr>
          <w:rFonts w:ascii="Lato" w:hAnsi="Lato"/>
          <w:color w:val="282828"/>
          <w:sz w:val="21"/>
          <w:szCs w:val="21"/>
          <w:shd w:val="clear" w:color="auto" w:fill="FFFFFF"/>
        </w:rPr>
      </w:pPr>
      <w:r>
        <w:rPr>
          <w:rFonts w:ascii="Lato" w:hAnsi="Lato"/>
          <w:b/>
          <w:bCs/>
          <w:noProof/>
          <w:color w:val="282828"/>
          <w:sz w:val="21"/>
          <w:szCs w:val="21"/>
          <w:lang w:eastAsia="fr-FR"/>
        </w:rPr>
        <w:drawing>
          <wp:anchor distT="0" distB="0" distL="114300" distR="114300" simplePos="0" relativeHeight="251663360" behindDoc="1" locked="0" layoutInCell="1" allowOverlap="1">
            <wp:simplePos x="0" y="0"/>
            <wp:positionH relativeFrom="column">
              <wp:posOffset>2726055</wp:posOffset>
            </wp:positionH>
            <wp:positionV relativeFrom="paragraph">
              <wp:posOffset>41275</wp:posOffset>
            </wp:positionV>
            <wp:extent cx="3218815" cy="2847975"/>
            <wp:effectExtent l="19050" t="19050" r="19685" b="28575"/>
            <wp:wrapTight wrapText="bothSides">
              <wp:wrapPolygon edited="0">
                <wp:start x="-128" y="-144"/>
                <wp:lineTo x="-128" y="21817"/>
                <wp:lineTo x="21732" y="21817"/>
                <wp:lineTo x="21732" y="-144"/>
                <wp:lineTo x="-128" y="-144"/>
              </wp:wrapPolygon>
            </wp:wrapTight>
            <wp:docPr id="10"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r="7119" b="3293"/>
                    <a:stretch>
                      <a:fillRect/>
                    </a:stretch>
                  </pic:blipFill>
                  <pic:spPr bwMode="auto">
                    <a:xfrm>
                      <a:off x="0" y="0"/>
                      <a:ext cx="3218815" cy="2847975"/>
                    </a:xfrm>
                    <a:prstGeom prst="rect">
                      <a:avLst/>
                    </a:prstGeom>
                    <a:noFill/>
                    <a:ln w="9525">
                      <a:solidFill>
                        <a:schemeClr val="accent1"/>
                      </a:solidFill>
                      <a:miter lim="800000"/>
                      <a:headEnd/>
                      <a:tailEnd/>
                    </a:ln>
                  </pic:spPr>
                </pic:pic>
              </a:graphicData>
            </a:graphic>
          </wp:anchor>
        </w:drawing>
      </w:r>
      <w:r w:rsidR="002D5B74" w:rsidRPr="002D5B74">
        <w:rPr>
          <w:rStyle w:val="lev"/>
          <w:rFonts w:ascii="Lato" w:hAnsi="Lato"/>
          <w:color w:val="282828"/>
          <w:sz w:val="21"/>
          <w:szCs w:val="21"/>
          <w:bdr w:val="none" w:sz="0" w:space="0" w:color="auto" w:frame="1"/>
          <w:shd w:val="clear" w:color="auto" w:fill="FFFFFF"/>
        </w:rPr>
        <w:t>La microalbuminurie est le dosage de l’albumine dans les urines</w:t>
      </w:r>
      <w:r>
        <w:rPr>
          <w:rFonts w:ascii="Lato" w:hAnsi="Lato"/>
          <w:color w:val="282828"/>
          <w:sz w:val="21"/>
          <w:szCs w:val="21"/>
          <w:shd w:val="clear" w:color="auto" w:fill="FFFFFF"/>
        </w:rPr>
        <w:t xml:space="preserve">. "Micro" </w:t>
      </w:r>
      <w:r w:rsidR="002D5B74" w:rsidRPr="002D5B74">
        <w:rPr>
          <w:rFonts w:ascii="Lato" w:hAnsi="Lato"/>
          <w:color w:val="282828"/>
          <w:sz w:val="21"/>
          <w:szCs w:val="21"/>
          <w:shd w:val="clear" w:color="auto" w:fill="FFFFFF"/>
        </w:rPr>
        <w:t>la faible quantité qui va devoir être détectée dans les urines (inférieure à 300 mg/24 heures). La microalbuminurie permet de </w:t>
      </w:r>
      <w:r w:rsidR="002D5B74" w:rsidRPr="002D5B74">
        <w:rPr>
          <w:rStyle w:val="lev"/>
          <w:rFonts w:ascii="Lato" w:hAnsi="Lato"/>
          <w:color w:val="282828"/>
          <w:sz w:val="21"/>
          <w:szCs w:val="21"/>
          <w:bdr w:val="none" w:sz="0" w:space="0" w:color="auto" w:frame="1"/>
          <w:shd w:val="clear" w:color="auto" w:fill="FFFFFF"/>
        </w:rPr>
        <w:t>rechercher précocement une complication rénale du diabète</w:t>
      </w:r>
      <w:r w:rsidR="002D5B74" w:rsidRPr="002D5B74">
        <w:rPr>
          <w:rFonts w:ascii="Lato" w:hAnsi="Lato"/>
          <w:color w:val="282828"/>
          <w:sz w:val="21"/>
          <w:szCs w:val="21"/>
          <w:shd w:val="clear" w:color="auto" w:fill="FFFFFF"/>
        </w:rPr>
        <w:t xml:space="preserve">. </w:t>
      </w:r>
    </w:p>
    <w:p w:rsidR="0015770A" w:rsidRDefault="0015770A" w:rsidP="007D5E46">
      <w:pPr>
        <w:autoSpaceDE w:val="0"/>
        <w:autoSpaceDN w:val="0"/>
        <w:adjustRightInd w:val="0"/>
        <w:spacing w:after="0" w:line="360" w:lineRule="auto"/>
        <w:jc w:val="both"/>
        <w:rPr>
          <w:rFonts w:asciiTheme="majorBidi" w:hAnsiTheme="majorBidi" w:cstheme="majorBidi"/>
          <w:b/>
          <w:bCs/>
          <w:noProof/>
          <w:sz w:val="24"/>
          <w:szCs w:val="24"/>
          <w:lang w:eastAsia="fr-FR"/>
        </w:rPr>
      </w:pPr>
      <w:r>
        <w:rPr>
          <w:rFonts w:ascii="Lato" w:hAnsi="Lato"/>
          <w:color w:val="282828"/>
          <w:sz w:val="23"/>
          <w:szCs w:val="23"/>
          <w:shd w:val="clear" w:color="auto" w:fill="FFFFFF"/>
        </w:rPr>
        <w:t>Normalement, les reins filtrent le sang et éliminent dans les urines de l’eau et certaines molécules toxiques. Les protéines, les corps gras et le glucose présents dans le sang sont retenus par les reins. La présence d’albumine dans les urines est liée à une atteinte de l’endothélium des vaisseaux du glomérule.</w:t>
      </w:r>
      <w:r w:rsidRPr="0015770A">
        <w:rPr>
          <w:rFonts w:asciiTheme="majorBidi" w:hAnsiTheme="majorBidi" w:cstheme="majorBidi"/>
          <w:b/>
          <w:bCs/>
          <w:noProof/>
          <w:sz w:val="24"/>
          <w:szCs w:val="24"/>
          <w:lang w:eastAsia="fr-FR"/>
        </w:rPr>
        <w:t xml:space="preserve"> </w:t>
      </w:r>
    </w:p>
    <w:p w:rsidR="00267D11" w:rsidRPr="00267D11" w:rsidRDefault="00267D11" w:rsidP="007D5E46">
      <w:pPr>
        <w:numPr>
          <w:ilvl w:val="0"/>
          <w:numId w:val="3"/>
        </w:numPr>
        <w:spacing w:after="0" w:line="360" w:lineRule="auto"/>
        <w:ind w:left="0"/>
        <w:jc w:val="both"/>
        <w:textAlignment w:val="baseline"/>
        <w:rPr>
          <w:rFonts w:asciiTheme="majorBidi" w:eastAsia="Times New Roman" w:hAnsiTheme="majorBidi" w:cstheme="majorBidi"/>
          <w:color w:val="282828"/>
          <w:sz w:val="24"/>
          <w:szCs w:val="24"/>
          <w:lang w:eastAsia="fr-FR"/>
        </w:rPr>
      </w:pPr>
      <w:r w:rsidRPr="00267D11">
        <w:rPr>
          <w:rFonts w:asciiTheme="majorBidi" w:eastAsia="Times New Roman" w:hAnsiTheme="majorBidi" w:cstheme="majorBidi"/>
          <w:b/>
          <w:bCs/>
          <w:color w:val="282828"/>
          <w:sz w:val="24"/>
          <w:szCs w:val="24"/>
          <w:lang w:eastAsia="fr-FR"/>
        </w:rPr>
        <w:t>En cas de diabète de type 1</w:t>
      </w:r>
      <w:r w:rsidRPr="00267D11">
        <w:rPr>
          <w:rFonts w:asciiTheme="majorBidi" w:eastAsia="Times New Roman" w:hAnsiTheme="majorBidi" w:cstheme="majorBidi"/>
          <w:color w:val="282828"/>
          <w:sz w:val="24"/>
          <w:szCs w:val="24"/>
          <w:lang w:eastAsia="fr-FR"/>
        </w:rPr>
        <w:t>, la microalbuminurie reflète l’état de fonctionnement du rein.</w:t>
      </w:r>
    </w:p>
    <w:p w:rsidR="00267D11" w:rsidRDefault="00267D11" w:rsidP="007D5E46">
      <w:pPr>
        <w:numPr>
          <w:ilvl w:val="0"/>
          <w:numId w:val="3"/>
        </w:numPr>
        <w:spacing w:after="0" w:line="360" w:lineRule="auto"/>
        <w:ind w:left="0"/>
        <w:jc w:val="both"/>
        <w:textAlignment w:val="baseline"/>
        <w:rPr>
          <w:rFonts w:asciiTheme="majorBidi" w:eastAsia="Times New Roman" w:hAnsiTheme="majorBidi" w:cstheme="majorBidi"/>
          <w:color w:val="282828"/>
          <w:sz w:val="24"/>
          <w:szCs w:val="24"/>
          <w:lang w:eastAsia="fr-FR"/>
        </w:rPr>
      </w:pPr>
      <w:r w:rsidRPr="00267D11">
        <w:rPr>
          <w:rFonts w:asciiTheme="majorBidi" w:eastAsia="Times New Roman" w:hAnsiTheme="majorBidi" w:cstheme="majorBidi"/>
          <w:b/>
          <w:bCs/>
          <w:color w:val="282828"/>
          <w:sz w:val="24"/>
          <w:szCs w:val="24"/>
          <w:lang w:eastAsia="fr-FR"/>
        </w:rPr>
        <w:lastRenderedPageBreak/>
        <w:t>En cas de diabète de type 2</w:t>
      </w:r>
      <w:r w:rsidRPr="00267D11">
        <w:rPr>
          <w:rFonts w:asciiTheme="majorBidi" w:eastAsia="Times New Roman" w:hAnsiTheme="majorBidi" w:cstheme="majorBidi"/>
          <w:color w:val="282828"/>
          <w:sz w:val="24"/>
          <w:szCs w:val="24"/>
          <w:lang w:eastAsia="fr-FR"/>
        </w:rPr>
        <w:t>, l’atteinte rénale est moins fréquente, la microalbuminurie reflète un risque d’atteinte cardiovasculaire (infarctus du myocarde, insuffisance cardiaque en cas d’excès de poids, hypertension artérielle, hyperlipidémie, accident vasculaire cérébral), voire une maladie rénale chronique.</w:t>
      </w:r>
    </w:p>
    <w:p w:rsidR="009F4D04" w:rsidRDefault="009F4D04" w:rsidP="007D5E46">
      <w:pPr>
        <w:spacing w:after="0" w:line="360" w:lineRule="auto"/>
        <w:jc w:val="both"/>
        <w:textAlignment w:val="baseline"/>
        <w:rPr>
          <w:rFonts w:asciiTheme="majorBidi" w:eastAsia="Times New Roman" w:hAnsiTheme="majorBidi" w:cstheme="majorBidi"/>
          <w:color w:val="282828"/>
          <w:sz w:val="24"/>
          <w:szCs w:val="24"/>
          <w:lang w:eastAsia="fr-FR"/>
        </w:rPr>
      </w:pPr>
      <w:r w:rsidRPr="009F4D04">
        <w:rPr>
          <w:rFonts w:asciiTheme="majorBidi" w:eastAsia="Times New Roman" w:hAnsiTheme="majorBidi" w:cstheme="majorBidi"/>
          <w:color w:val="282828"/>
          <w:sz w:val="24"/>
          <w:szCs w:val="24"/>
          <w:lang w:eastAsia="fr-FR"/>
        </w:rPr>
        <w:t>Son dosage actuel ne pose aucun problème, il est bien standardisé. Il fait appel à l'immunoturbidimétrie. Il est très rapide et fiable</w:t>
      </w:r>
      <w:r>
        <w:rPr>
          <w:rFonts w:asciiTheme="majorBidi" w:eastAsia="Times New Roman" w:hAnsiTheme="majorBidi" w:cstheme="majorBidi"/>
          <w:color w:val="282828"/>
          <w:sz w:val="24"/>
          <w:szCs w:val="24"/>
          <w:lang w:eastAsia="fr-FR"/>
        </w:rPr>
        <w:t xml:space="preserve"> mais il doit être effectué dans des conditions strictes</w:t>
      </w:r>
      <w:r w:rsidRPr="009F4D04">
        <w:rPr>
          <w:rFonts w:asciiTheme="majorBidi" w:eastAsia="Times New Roman" w:hAnsiTheme="majorBidi" w:cstheme="majorBidi"/>
          <w:color w:val="282828"/>
          <w:sz w:val="24"/>
          <w:szCs w:val="24"/>
          <w:lang w:eastAsia="fr-FR"/>
        </w:rPr>
        <w:t>. Son interprétation est donc sûre.</w:t>
      </w:r>
    </w:p>
    <w:p w:rsidR="002A71D0" w:rsidRPr="002A71D0" w:rsidRDefault="002A71D0" w:rsidP="007D5E46">
      <w:pPr>
        <w:spacing w:after="0" w:line="360" w:lineRule="auto"/>
        <w:jc w:val="both"/>
        <w:textAlignment w:val="baseline"/>
        <w:rPr>
          <w:rFonts w:asciiTheme="majorBidi" w:eastAsia="Times New Roman" w:hAnsiTheme="majorBidi" w:cstheme="majorBidi"/>
          <w:b/>
          <w:bCs/>
          <w:color w:val="282828"/>
          <w:sz w:val="24"/>
          <w:szCs w:val="24"/>
          <w:lang w:eastAsia="fr-FR"/>
        </w:rPr>
      </w:pPr>
      <w:r w:rsidRPr="002A71D0">
        <w:rPr>
          <w:rFonts w:asciiTheme="majorBidi" w:eastAsia="Times New Roman" w:hAnsiTheme="majorBidi" w:cstheme="majorBidi"/>
          <w:b/>
          <w:bCs/>
          <w:color w:val="282828"/>
          <w:sz w:val="24"/>
          <w:szCs w:val="24"/>
          <w:lang w:eastAsia="fr-FR"/>
        </w:rPr>
        <w:t>3. Insuline</w:t>
      </w:r>
      <w:r w:rsidR="00F470E5">
        <w:rPr>
          <w:rFonts w:asciiTheme="majorBidi" w:eastAsia="Times New Roman" w:hAnsiTheme="majorBidi" w:cstheme="majorBidi"/>
          <w:b/>
          <w:bCs/>
          <w:color w:val="282828"/>
          <w:sz w:val="24"/>
          <w:szCs w:val="24"/>
          <w:lang w:eastAsia="fr-FR"/>
        </w:rPr>
        <w:t xml:space="preserve"> et peptide C</w:t>
      </w:r>
      <w:r w:rsidRPr="002A71D0">
        <w:rPr>
          <w:rFonts w:asciiTheme="majorBidi" w:eastAsia="Times New Roman" w:hAnsiTheme="majorBidi" w:cstheme="majorBidi"/>
          <w:b/>
          <w:bCs/>
          <w:color w:val="282828"/>
          <w:sz w:val="24"/>
          <w:szCs w:val="24"/>
          <w:lang w:eastAsia="fr-FR"/>
        </w:rPr>
        <w:t xml:space="preserve"> : </w:t>
      </w:r>
    </w:p>
    <w:p w:rsidR="002A71D0" w:rsidRPr="00F470E5" w:rsidRDefault="002A71D0" w:rsidP="007D5E46">
      <w:pPr>
        <w:spacing w:after="0" w:line="360" w:lineRule="auto"/>
        <w:jc w:val="both"/>
        <w:textAlignment w:val="baseline"/>
        <w:rPr>
          <w:rStyle w:val="lev"/>
          <w:rFonts w:asciiTheme="majorBidi" w:hAnsiTheme="majorBidi" w:cstheme="majorBidi"/>
          <w:b w:val="0"/>
          <w:bCs w:val="0"/>
          <w:color w:val="282828"/>
          <w:sz w:val="24"/>
          <w:szCs w:val="24"/>
          <w:bdr w:val="none" w:sz="0" w:space="0" w:color="auto" w:frame="1"/>
          <w:shd w:val="clear" w:color="auto" w:fill="FFFFFF"/>
        </w:rPr>
      </w:pPr>
      <w:r w:rsidRPr="00F470E5">
        <w:rPr>
          <w:rStyle w:val="lev"/>
          <w:rFonts w:asciiTheme="majorBidi" w:hAnsiTheme="majorBidi" w:cstheme="majorBidi"/>
          <w:b w:val="0"/>
          <w:bCs w:val="0"/>
          <w:color w:val="282828"/>
          <w:sz w:val="24"/>
          <w:szCs w:val="24"/>
          <w:bdr w:val="none" w:sz="0" w:space="0" w:color="auto" w:frame="1"/>
          <w:shd w:val="clear" w:color="auto" w:fill="FFFFFF"/>
        </w:rPr>
        <w:t>L'insuline est une hormone sécrétée par les cellules du pancréas dont le taux de sécrétion  est régulé par la glycémie, le glucagon, l'hormone de croissance.</w:t>
      </w:r>
    </w:p>
    <w:p w:rsidR="00F034FF" w:rsidRDefault="00F034FF" w:rsidP="007D5E46">
      <w:pPr>
        <w:spacing w:after="0" w:line="360" w:lineRule="auto"/>
        <w:jc w:val="both"/>
        <w:textAlignment w:val="baseline"/>
        <w:rPr>
          <w:rStyle w:val="lev"/>
          <w:rFonts w:asciiTheme="majorBidi" w:hAnsiTheme="majorBidi" w:cstheme="majorBidi"/>
          <w:b w:val="0"/>
          <w:bCs w:val="0"/>
          <w:sz w:val="24"/>
          <w:szCs w:val="24"/>
          <w:bdr w:val="none" w:sz="0" w:space="0" w:color="auto" w:frame="1"/>
          <w:shd w:val="clear" w:color="auto" w:fill="FFFFFF"/>
        </w:rPr>
      </w:pPr>
      <w:r>
        <w:rPr>
          <w:rFonts w:asciiTheme="majorBidi" w:hAnsiTheme="majorBidi" w:cstheme="majorBidi"/>
          <w:noProof/>
          <w:color w:val="282828"/>
          <w:sz w:val="24"/>
          <w:szCs w:val="24"/>
          <w:lang w:eastAsia="fr-FR"/>
        </w:rPr>
        <w:drawing>
          <wp:anchor distT="0" distB="0" distL="114300" distR="114300" simplePos="0" relativeHeight="251664384" behindDoc="1" locked="0" layoutInCell="1" allowOverlap="1">
            <wp:simplePos x="0" y="0"/>
            <wp:positionH relativeFrom="column">
              <wp:posOffset>805180</wp:posOffset>
            </wp:positionH>
            <wp:positionV relativeFrom="paragraph">
              <wp:posOffset>1176655</wp:posOffset>
            </wp:positionV>
            <wp:extent cx="4086225" cy="2705100"/>
            <wp:effectExtent l="19050" t="0" r="9525" b="0"/>
            <wp:wrapTight wrapText="bothSides">
              <wp:wrapPolygon edited="0">
                <wp:start x="-101" y="0"/>
                <wp:lineTo x="-101" y="21448"/>
                <wp:lineTo x="21650" y="21448"/>
                <wp:lineTo x="21650" y="0"/>
                <wp:lineTo x="-101" y="0"/>
              </wp:wrapPolygon>
            </wp:wrapTight>
            <wp:docPr id="3" name="Image 10" descr="Résultat de recherche d'images pour &quot;insuline peptide c&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Résultat de recherche d'images pour &quot;insuline peptide c&quot;"/>
                    <pic:cNvPicPr>
                      <a:picLocks noChangeAspect="1" noChangeArrowheads="1"/>
                    </pic:cNvPicPr>
                  </pic:nvPicPr>
                  <pic:blipFill>
                    <a:blip r:embed="rId13"/>
                    <a:srcRect/>
                    <a:stretch>
                      <a:fillRect/>
                    </a:stretch>
                  </pic:blipFill>
                  <pic:spPr bwMode="auto">
                    <a:xfrm>
                      <a:off x="0" y="0"/>
                      <a:ext cx="4086225" cy="2705100"/>
                    </a:xfrm>
                    <a:prstGeom prst="rect">
                      <a:avLst/>
                    </a:prstGeom>
                    <a:noFill/>
                    <a:ln w="9525">
                      <a:noFill/>
                      <a:miter lim="800000"/>
                      <a:headEnd/>
                      <a:tailEnd/>
                    </a:ln>
                  </pic:spPr>
                </pic:pic>
              </a:graphicData>
            </a:graphic>
          </wp:anchor>
        </w:drawing>
      </w:r>
      <w:r w:rsidR="00F470E5" w:rsidRPr="00F470E5">
        <w:rPr>
          <w:rStyle w:val="lev"/>
          <w:rFonts w:asciiTheme="majorBidi" w:hAnsiTheme="majorBidi" w:cstheme="majorBidi"/>
          <w:b w:val="0"/>
          <w:bCs w:val="0"/>
          <w:color w:val="282828"/>
          <w:sz w:val="24"/>
          <w:szCs w:val="24"/>
          <w:bdr w:val="none" w:sz="0" w:space="0" w:color="auto" w:frame="1"/>
          <w:shd w:val="clear" w:color="auto" w:fill="FFFFFF"/>
        </w:rPr>
        <w:t xml:space="preserve">Le dosage de l’insuline, seule, ne participe pas directement ni au diagnostic de la maladie diabétique, ni à sa surveillance régulière. Néanmoins, l’exploration de la capacité insulinosécrétoire du pancréas présente un intérêt à certaines phases de la maladie. </w:t>
      </w:r>
      <w:r w:rsidRPr="00F470E5">
        <w:rPr>
          <w:rStyle w:val="lev"/>
          <w:rFonts w:asciiTheme="majorBidi" w:hAnsiTheme="majorBidi" w:cstheme="majorBidi"/>
          <w:b w:val="0"/>
          <w:bCs w:val="0"/>
          <w:color w:val="282828"/>
          <w:sz w:val="24"/>
          <w:szCs w:val="24"/>
          <w:bdr w:val="none" w:sz="0" w:space="0" w:color="auto" w:frame="1"/>
          <w:shd w:val="clear" w:color="auto" w:fill="FFFFFF"/>
        </w:rPr>
        <w:t>L</w:t>
      </w:r>
      <w:r w:rsidR="00F470E5" w:rsidRPr="00F470E5">
        <w:rPr>
          <w:rStyle w:val="lev"/>
          <w:rFonts w:asciiTheme="majorBidi" w:hAnsiTheme="majorBidi" w:cstheme="majorBidi"/>
          <w:b w:val="0"/>
          <w:bCs w:val="0"/>
          <w:color w:val="282828"/>
          <w:sz w:val="24"/>
          <w:szCs w:val="24"/>
          <w:bdr w:val="none" w:sz="0" w:space="0" w:color="auto" w:frame="1"/>
          <w:shd w:val="clear" w:color="auto" w:fill="FFFFFF"/>
        </w:rPr>
        <w:t>e dosage du peptide C peut être un meilleur témoin de l’insulinosécrétion que l’insuline</w:t>
      </w:r>
      <w:r w:rsidR="00F470E5" w:rsidRPr="00F470E5">
        <w:rPr>
          <w:rStyle w:val="lev"/>
          <w:rFonts w:asciiTheme="majorBidi" w:hAnsiTheme="majorBidi" w:cstheme="majorBidi"/>
          <w:color w:val="282828"/>
          <w:sz w:val="24"/>
          <w:szCs w:val="24"/>
          <w:bdr w:val="none" w:sz="0" w:space="0" w:color="auto" w:frame="1"/>
        </w:rPr>
        <w:t xml:space="preserve"> </w:t>
      </w:r>
      <w:r w:rsidR="00F470E5" w:rsidRPr="00F034FF">
        <w:rPr>
          <w:rStyle w:val="lev"/>
          <w:rFonts w:asciiTheme="majorBidi" w:hAnsiTheme="majorBidi" w:cstheme="majorBidi"/>
          <w:b w:val="0"/>
          <w:bCs w:val="0"/>
          <w:color w:val="282828"/>
          <w:sz w:val="24"/>
          <w:szCs w:val="24"/>
          <w:bdr w:val="none" w:sz="0" w:space="0" w:color="auto" w:frame="1"/>
        </w:rPr>
        <w:t>elle-même.</w:t>
      </w:r>
      <w:r w:rsidRPr="00F034FF">
        <w:t xml:space="preserve"> </w:t>
      </w:r>
    </w:p>
    <w:p w:rsidR="00F034FF" w:rsidRPr="00F034FF" w:rsidRDefault="00F034FF" w:rsidP="007D5E46">
      <w:pPr>
        <w:spacing w:line="360" w:lineRule="auto"/>
        <w:rPr>
          <w:rFonts w:asciiTheme="majorBidi" w:hAnsiTheme="majorBidi" w:cstheme="majorBidi"/>
          <w:sz w:val="24"/>
          <w:szCs w:val="24"/>
        </w:rPr>
      </w:pPr>
    </w:p>
    <w:p w:rsidR="00F034FF" w:rsidRPr="00F034FF" w:rsidRDefault="00F034FF" w:rsidP="007D5E46">
      <w:pPr>
        <w:spacing w:line="360" w:lineRule="auto"/>
        <w:rPr>
          <w:rFonts w:asciiTheme="majorBidi" w:hAnsiTheme="majorBidi" w:cstheme="majorBidi"/>
          <w:sz w:val="24"/>
          <w:szCs w:val="24"/>
        </w:rPr>
      </w:pPr>
    </w:p>
    <w:p w:rsidR="00F034FF" w:rsidRPr="00F034FF" w:rsidRDefault="00F034FF" w:rsidP="007D5E46">
      <w:pPr>
        <w:spacing w:line="360" w:lineRule="auto"/>
        <w:rPr>
          <w:rFonts w:asciiTheme="majorBidi" w:hAnsiTheme="majorBidi" w:cstheme="majorBidi"/>
          <w:sz w:val="24"/>
          <w:szCs w:val="24"/>
        </w:rPr>
      </w:pPr>
    </w:p>
    <w:p w:rsidR="00F034FF" w:rsidRPr="00F034FF" w:rsidRDefault="00F034FF" w:rsidP="007D5E46">
      <w:pPr>
        <w:spacing w:line="360" w:lineRule="auto"/>
        <w:rPr>
          <w:rFonts w:asciiTheme="majorBidi" w:hAnsiTheme="majorBidi" w:cstheme="majorBidi"/>
          <w:sz w:val="24"/>
          <w:szCs w:val="24"/>
        </w:rPr>
      </w:pPr>
    </w:p>
    <w:p w:rsidR="00F034FF" w:rsidRPr="00F034FF" w:rsidRDefault="00F034FF" w:rsidP="007D5E46">
      <w:pPr>
        <w:spacing w:line="360" w:lineRule="auto"/>
        <w:rPr>
          <w:rFonts w:asciiTheme="majorBidi" w:hAnsiTheme="majorBidi" w:cstheme="majorBidi"/>
          <w:sz w:val="24"/>
          <w:szCs w:val="24"/>
        </w:rPr>
      </w:pPr>
    </w:p>
    <w:p w:rsidR="00F034FF" w:rsidRPr="00F034FF" w:rsidRDefault="00F034FF" w:rsidP="007D5E46">
      <w:pPr>
        <w:spacing w:line="360" w:lineRule="auto"/>
        <w:rPr>
          <w:rFonts w:asciiTheme="majorBidi" w:hAnsiTheme="majorBidi" w:cstheme="majorBidi"/>
          <w:sz w:val="24"/>
          <w:szCs w:val="24"/>
        </w:rPr>
      </w:pPr>
    </w:p>
    <w:p w:rsidR="00F034FF" w:rsidRPr="00F034FF" w:rsidRDefault="00F034FF" w:rsidP="007D5E46">
      <w:pPr>
        <w:spacing w:line="360" w:lineRule="auto"/>
        <w:rPr>
          <w:rFonts w:asciiTheme="majorBidi" w:hAnsiTheme="majorBidi" w:cstheme="majorBidi"/>
          <w:sz w:val="24"/>
          <w:szCs w:val="24"/>
        </w:rPr>
      </w:pPr>
    </w:p>
    <w:p w:rsidR="00F034FF" w:rsidRPr="00F034FF" w:rsidRDefault="00F034FF" w:rsidP="007D5E46">
      <w:pPr>
        <w:spacing w:line="360" w:lineRule="auto"/>
        <w:rPr>
          <w:rFonts w:asciiTheme="majorBidi" w:hAnsiTheme="majorBidi" w:cstheme="majorBidi"/>
          <w:sz w:val="24"/>
          <w:szCs w:val="24"/>
        </w:rPr>
      </w:pPr>
    </w:p>
    <w:p w:rsidR="00F034FF" w:rsidRPr="00F034FF" w:rsidRDefault="00F034FF" w:rsidP="007D5E46">
      <w:pPr>
        <w:spacing w:line="360" w:lineRule="auto"/>
        <w:rPr>
          <w:rFonts w:asciiTheme="majorBidi" w:hAnsiTheme="majorBidi" w:cstheme="majorBidi"/>
          <w:sz w:val="24"/>
          <w:szCs w:val="24"/>
        </w:rPr>
      </w:pPr>
    </w:p>
    <w:p w:rsidR="00F034FF" w:rsidRPr="00F034FF" w:rsidRDefault="00F034FF" w:rsidP="007D5E46">
      <w:pPr>
        <w:spacing w:line="360" w:lineRule="auto"/>
        <w:rPr>
          <w:rFonts w:asciiTheme="majorBidi" w:hAnsiTheme="majorBidi" w:cstheme="majorBidi"/>
          <w:sz w:val="24"/>
          <w:szCs w:val="24"/>
        </w:rPr>
      </w:pPr>
    </w:p>
    <w:p w:rsidR="00F034FF" w:rsidRDefault="00F034FF" w:rsidP="007D5E46">
      <w:pPr>
        <w:spacing w:line="360" w:lineRule="auto"/>
        <w:rPr>
          <w:rFonts w:asciiTheme="majorBidi" w:hAnsiTheme="majorBidi" w:cstheme="majorBidi"/>
          <w:sz w:val="24"/>
          <w:szCs w:val="24"/>
        </w:rPr>
      </w:pPr>
    </w:p>
    <w:p w:rsidR="00F034FF" w:rsidRDefault="00F034FF" w:rsidP="007D5E46">
      <w:pPr>
        <w:spacing w:line="360" w:lineRule="auto"/>
        <w:rPr>
          <w:rFonts w:asciiTheme="majorBidi" w:hAnsiTheme="majorBidi" w:cstheme="majorBidi"/>
          <w:sz w:val="24"/>
          <w:szCs w:val="24"/>
        </w:rPr>
      </w:pPr>
    </w:p>
    <w:p w:rsidR="00F470E5" w:rsidRDefault="00F034FF" w:rsidP="007D5E46">
      <w:pPr>
        <w:tabs>
          <w:tab w:val="left" w:pos="2295"/>
        </w:tabs>
        <w:spacing w:line="360" w:lineRule="auto"/>
        <w:rPr>
          <w:rFonts w:asciiTheme="majorBidi" w:hAnsiTheme="majorBidi" w:cstheme="majorBidi"/>
          <w:sz w:val="24"/>
          <w:szCs w:val="24"/>
        </w:rPr>
      </w:pPr>
      <w:r>
        <w:rPr>
          <w:rFonts w:asciiTheme="majorBidi" w:hAnsiTheme="majorBidi" w:cstheme="majorBidi"/>
          <w:sz w:val="24"/>
          <w:szCs w:val="24"/>
        </w:rPr>
        <w:t xml:space="preserve">Le dosage est effectué en utilisant un réactif </w:t>
      </w:r>
      <w:r w:rsidR="007D5E46">
        <w:rPr>
          <w:rFonts w:asciiTheme="majorBidi" w:hAnsiTheme="majorBidi" w:cstheme="majorBidi"/>
          <w:sz w:val="24"/>
          <w:szCs w:val="24"/>
        </w:rPr>
        <w:t>qui contient des anticorps spécifique pour l’insuline (Anti-insuline) ou peptide C (Anti-peptide C).</w:t>
      </w:r>
    </w:p>
    <w:p w:rsidR="001A16F6" w:rsidRDefault="001A16F6" w:rsidP="007D5E46">
      <w:pPr>
        <w:tabs>
          <w:tab w:val="left" w:pos="2295"/>
        </w:tabs>
        <w:spacing w:line="360" w:lineRule="auto"/>
        <w:rPr>
          <w:rFonts w:asciiTheme="majorBidi" w:hAnsiTheme="majorBidi" w:cstheme="majorBidi"/>
          <w:sz w:val="24"/>
          <w:szCs w:val="24"/>
        </w:rPr>
      </w:pPr>
    </w:p>
    <w:p w:rsidR="007D5E46" w:rsidRPr="007D5E46" w:rsidRDefault="007D5E46" w:rsidP="007D5E46">
      <w:pPr>
        <w:tabs>
          <w:tab w:val="left" w:pos="2295"/>
        </w:tabs>
        <w:spacing w:line="360" w:lineRule="auto"/>
        <w:rPr>
          <w:rFonts w:asciiTheme="majorBidi" w:hAnsiTheme="majorBidi" w:cstheme="majorBidi"/>
          <w:b/>
          <w:bCs/>
          <w:sz w:val="24"/>
          <w:szCs w:val="24"/>
        </w:rPr>
      </w:pPr>
      <w:r w:rsidRPr="007D5E46">
        <w:rPr>
          <w:rFonts w:asciiTheme="majorBidi" w:hAnsiTheme="majorBidi" w:cstheme="majorBidi"/>
          <w:b/>
          <w:bCs/>
          <w:sz w:val="24"/>
          <w:szCs w:val="24"/>
        </w:rPr>
        <w:lastRenderedPageBreak/>
        <w:t>4. Corps cétoniques :</w:t>
      </w:r>
    </w:p>
    <w:p w:rsidR="007D5E46" w:rsidRDefault="007D5E46" w:rsidP="007D5E46">
      <w:pPr>
        <w:tabs>
          <w:tab w:val="left" w:pos="2295"/>
        </w:tabs>
        <w:spacing w:line="360" w:lineRule="auto"/>
        <w:jc w:val="both"/>
        <w:rPr>
          <w:rFonts w:asciiTheme="majorBidi" w:hAnsiTheme="majorBidi" w:cstheme="majorBidi"/>
          <w:sz w:val="24"/>
          <w:szCs w:val="24"/>
        </w:rPr>
      </w:pPr>
      <w:r>
        <w:rPr>
          <w:rFonts w:asciiTheme="majorBidi" w:hAnsiTheme="majorBidi" w:cstheme="majorBidi"/>
          <w:sz w:val="24"/>
          <w:szCs w:val="24"/>
        </w:rPr>
        <w:t xml:space="preserve">Les corps cétoniques sont </w:t>
      </w:r>
      <w:r w:rsidRPr="007D5E46">
        <w:rPr>
          <w:rFonts w:asciiTheme="majorBidi" w:hAnsiTheme="majorBidi" w:cstheme="majorBidi"/>
          <w:sz w:val="24"/>
          <w:szCs w:val="24"/>
        </w:rPr>
        <w:t>produits par le processus de </w:t>
      </w:r>
      <w:hyperlink r:id="rId14" w:tooltip="Cétogenèse" w:history="1">
        <w:r w:rsidRPr="007D5E46">
          <w:rPr>
            <w:rFonts w:asciiTheme="majorBidi" w:hAnsiTheme="majorBidi" w:cstheme="majorBidi"/>
            <w:sz w:val="24"/>
            <w:szCs w:val="24"/>
          </w:rPr>
          <w:t>cétogenèse</w:t>
        </w:r>
      </w:hyperlink>
      <w:r w:rsidRPr="007D5E46">
        <w:rPr>
          <w:rFonts w:asciiTheme="majorBidi" w:hAnsiTheme="majorBidi" w:cstheme="majorBidi"/>
          <w:sz w:val="24"/>
          <w:szCs w:val="24"/>
        </w:rPr>
        <w:t> dans le </w:t>
      </w:r>
      <w:hyperlink r:id="rId15" w:tooltip="Foie" w:history="1">
        <w:r w:rsidRPr="007D5E46">
          <w:rPr>
            <w:rFonts w:asciiTheme="majorBidi" w:hAnsiTheme="majorBidi" w:cstheme="majorBidi"/>
            <w:sz w:val="24"/>
            <w:szCs w:val="24"/>
          </w:rPr>
          <w:t>foie</w:t>
        </w:r>
      </w:hyperlink>
      <w:r w:rsidRPr="007D5E46">
        <w:rPr>
          <w:rFonts w:asciiTheme="majorBidi" w:hAnsiTheme="majorBidi" w:cstheme="majorBidi"/>
          <w:sz w:val="24"/>
          <w:szCs w:val="24"/>
        </w:rPr>
        <w:t> à partir de la </w:t>
      </w:r>
      <w:hyperlink r:id="rId16" w:tooltip="Catabolisme" w:history="1">
        <w:r w:rsidRPr="007D5E46">
          <w:rPr>
            <w:rFonts w:asciiTheme="majorBidi" w:hAnsiTheme="majorBidi" w:cstheme="majorBidi"/>
            <w:sz w:val="24"/>
            <w:szCs w:val="24"/>
          </w:rPr>
          <w:t>dégradation</w:t>
        </w:r>
      </w:hyperlink>
      <w:r w:rsidRPr="007D5E46">
        <w:rPr>
          <w:rFonts w:asciiTheme="majorBidi" w:hAnsiTheme="majorBidi" w:cstheme="majorBidi"/>
          <w:sz w:val="24"/>
          <w:szCs w:val="24"/>
        </w:rPr>
        <w:t> des </w:t>
      </w:r>
      <w:hyperlink r:id="rId17" w:tooltip="Lipide" w:history="1">
        <w:r w:rsidRPr="007D5E46">
          <w:rPr>
            <w:rFonts w:asciiTheme="majorBidi" w:hAnsiTheme="majorBidi" w:cstheme="majorBidi"/>
            <w:sz w:val="24"/>
            <w:szCs w:val="24"/>
          </w:rPr>
          <w:t>lipides</w:t>
        </w:r>
      </w:hyperlink>
      <w:r w:rsidRPr="007D5E46">
        <w:rPr>
          <w:rFonts w:asciiTheme="majorBidi" w:hAnsiTheme="majorBidi" w:cstheme="majorBidi"/>
          <w:sz w:val="24"/>
          <w:szCs w:val="24"/>
        </w:rPr>
        <w:t>, et plus particulièrement des </w:t>
      </w:r>
      <w:hyperlink r:id="rId18" w:tooltip="Acide gras" w:history="1">
        <w:r w:rsidRPr="007D5E46">
          <w:rPr>
            <w:rFonts w:asciiTheme="majorBidi" w:hAnsiTheme="majorBidi" w:cstheme="majorBidi"/>
            <w:sz w:val="24"/>
            <w:szCs w:val="24"/>
          </w:rPr>
          <w:t>acides gras</w:t>
        </w:r>
      </w:hyperlink>
      <w:r w:rsidRPr="007D5E46">
        <w:rPr>
          <w:rFonts w:asciiTheme="majorBidi" w:hAnsiTheme="majorBidi" w:cstheme="majorBidi"/>
          <w:sz w:val="24"/>
          <w:szCs w:val="24"/>
        </w:rPr>
        <w:t>, lorsque l'organisme ne dispose plus de réserves suffisantes en </w:t>
      </w:r>
      <w:hyperlink r:id="rId19" w:tooltip="Glucide" w:history="1">
        <w:r w:rsidRPr="007D5E46">
          <w:rPr>
            <w:rFonts w:asciiTheme="majorBidi" w:hAnsiTheme="majorBidi" w:cstheme="majorBidi"/>
            <w:sz w:val="24"/>
            <w:szCs w:val="24"/>
          </w:rPr>
          <w:t>glucides</w:t>
        </w:r>
      </w:hyperlink>
      <w:r w:rsidRPr="007D5E46">
        <w:rPr>
          <w:rFonts w:asciiTheme="majorBidi" w:hAnsiTheme="majorBidi" w:cstheme="majorBidi"/>
          <w:sz w:val="24"/>
          <w:szCs w:val="24"/>
        </w:rPr>
        <w:t>, et notamment en </w:t>
      </w:r>
      <w:hyperlink r:id="rId20" w:tooltip="Glucose" w:history="1">
        <w:r w:rsidRPr="007D5E46">
          <w:rPr>
            <w:rFonts w:asciiTheme="majorBidi" w:hAnsiTheme="majorBidi" w:cstheme="majorBidi"/>
            <w:sz w:val="24"/>
            <w:szCs w:val="24"/>
          </w:rPr>
          <w:t>glucose</w:t>
        </w:r>
      </w:hyperlink>
      <w:r w:rsidRPr="007D5E46">
        <w:rPr>
          <w:rFonts w:asciiTheme="majorBidi" w:hAnsiTheme="majorBidi" w:cstheme="majorBidi"/>
          <w:sz w:val="24"/>
          <w:szCs w:val="24"/>
        </w:rPr>
        <w:t>.</w:t>
      </w:r>
    </w:p>
    <w:p w:rsidR="007D5E46" w:rsidRPr="007D5E46" w:rsidRDefault="007D5E46" w:rsidP="007D5E46">
      <w:pPr>
        <w:pStyle w:val="NormalWeb"/>
        <w:shd w:val="clear" w:color="auto" w:fill="FFFFFF"/>
        <w:spacing w:before="120" w:beforeAutospacing="0" w:after="120" w:afterAutospacing="0" w:line="360" w:lineRule="auto"/>
        <w:jc w:val="both"/>
        <w:rPr>
          <w:rFonts w:asciiTheme="majorBidi" w:hAnsiTheme="majorBidi" w:cstheme="majorBidi"/>
        </w:rPr>
      </w:pPr>
      <w:r w:rsidRPr="007D5E46">
        <w:rPr>
          <w:rFonts w:asciiTheme="majorBidi" w:hAnsiTheme="majorBidi" w:cstheme="majorBidi"/>
        </w:rPr>
        <w:t>Chez les individus sains, les corps cétoniques sont constamment produits par le foie et utilisés par les tissus extra-hépatiques. Ils sont donc naturellement présents dans le sang, à une concentration maintenue aux environs de </w:t>
      </w:r>
      <w:r w:rsidRPr="007D5E46">
        <w:rPr>
          <w:rStyle w:val="nowrap"/>
          <w:rFonts w:asciiTheme="majorBidi" w:hAnsiTheme="majorBidi" w:cstheme="majorBidi"/>
        </w:rPr>
        <w:t>1 mg·dl</w:t>
      </w:r>
      <w:r w:rsidRPr="007D5E46">
        <w:rPr>
          <w:rStyle w:val="nowrap"/>
          <w:rFonts w:asciiTheme="majorBidi" w:hAnsiTheme="majorBidi" w:cstheme="majorBidi"/>
          <w:vertAlign w:val="superscript"/>
        </w:rPr>
        <w:t>-1</w:t>
      </w:r>
      <w:r w:rsidRPr="007D5E46">
        <w:rPr>
          <w:rFonts w:asciiTheme="majorBidi" w:hAnsiTheme="majorBidi" w:cstheme="majorBidi"/>
        </w:rPr>
        <w:t>. Leur excrétion urinaire est très faible et indétectable par les tests urinaires de routine.</w:t>
      </w:r>
    </w:p>
    <w:p w:rsidR="007D5E46" w:rsidRPr="007D5E46" w:rsidRDefault="007D5E46" w:rsidP="00755EBB">
      <w:pPr>
        <w:pStyle w:val="NormalWeb"/>
        <w:shd w:val="clear" w:color="auto" w:fill="FFFFFF"/>
        <w:spacing w:before="120" w:beforeAutospacing="0" w:after="120" w:afterAutospacing="0" w:line="360" w:lineRule="auto"/>
        <w:jc w:val="both"/>
        <w:rPr>
          <w:rFonts w:asciiTheme="majorBidi" w:hAnsiTheme="majorBidi" w:cstheme="majorBidi"/>
        </w:rPr>
      </w:pPr>
      <w:r w:rsidRPr="007D5E46">
        <w:rPr>
          <w:rFonts w:asciiTheme="majorBidi" w:hAnsiTheme="majorBidi" w:cstheme="majorBidi"/>
        </w:rPr>
        <w:t>Lorsque le taux d'utilisation des corps cétoniques est inférieur à leur taux de production par l'organisme, ils s'accumulent dans le sang : on parle de </w:t>
      </w:r>
      <w:hyperlink r:id="rId21" w:tooltip="Cétonémie" w:history="1">
        <w:r w:rsidRPr="007D5E46">
          <w:rPr>
            <w:rStyle w:val="Lienhypertexte"/>
            <w:rFonts w:asciiTheme="majorBidi" w:hAnsiTheme="majorBidi" w:cstheme="majorBidi"/>
            <w:i/>
            <w:iCs/>
            <w:color w:val="auto"/>
            <w:u w:val="none"/>
          </w:rPr>
          <w:t>cétonémie</w:t>
        </w:r>
      </w:hyperlink>
      <w:r w:rsidRPr="007D5E46">
        <w:rPr>
          <w:rFonts w:asciiTheme="majorBidi" w:hAnsiTheme="majorBidi" w:cstheme="majorBidi"/>
        </w:rPr>
        <w:t>. Lorsque leur concentration sanguine continue d'augmenter, leur excrétion urinaire devient significative et on parle de </w:t>
      </w:r>
      <w:hyperlink r:id="rId22" w:tooltip="Cétonurie" w:history="1">
        <w:r w:rsidRPr="007D5E46">
          <w:rPr>
            <w:rStyle w:val="Lienhypertexte"/>
            <w:rFonts w:asciiTheme="majorBidi" w:hAnsiTheme="majorBidi" w:cstheme="majorBidi"/>
            <w:i/>
            <w:iCs/>
            <w:color w:val="auto"/>
            <w:u w:val="none"/>
          </w:rPr>
          <w:t>cétonurie</w:t>
        </w:r>
      </w:hyperlink>
      <w:r w:rsidRPr="007D5E46">
        <w:rPr>
          <w:rFonts w:asciiTheme="majorBidi" w:hAnsiTheme="majorBidi" w:cstheme="majorBidi"/>
        </w:rPr>
        <w:t xml:space="preserve">. </w:t>
      </w:r>
      <w:r>
        <w:rPr>
          <w:rFonts w:asciiTheme="majorBidi" w:hAnsiTheme="majorBidi" w:cstheme="majorBidi"/>
        </w:rPr>
        <w:t xml:space="preserve">On parle aussi d’une </w:t>
      </w:r>
      <w:hyperlink r:id="rId23" w:tooltip="Cétose (diététique)" w:history="1">
        <w:r w:rsidRPr="007D5E46">
          <w:rPr>
            <w:rStyle w:val="Lienhypertexte"/>
            <w:rFonts w:asciiTheme="majorBidi" w:hAnsiTheme="majorBidi" w:cstheme="majorBidi"/>
            <w:color w:val="auto"/>
            <w:u w:val="none"/>
          </w:rPr>
          <w:t>cétose</w:t>
        </w:r>
      </w:hyperlink>
      <w:r w:rsidR="00755EBB">
        <w:rPr>
          <w:rFonts w:asciiTheme="majorBidi" w:hAnsiTheme="majorBidi" w:cstheme="majorBidi"/>
        </w:rPr>
        <w:t>.</w:t>
      </w:r>
    </w:p>
    <w:p w:rsidR="007D5E46" w:rsidRDefault="007D5E46" w:rsidP="00755EBB">
      <w:pPr>
        <w:pStyle w:val="NormalWeb"/>
        <w:shd w:val="clear" w:color="auto" w:fill="FFFFFF"/>
        <w:spacing w:before="120" w:beforeAutospacing="0" w:after="120" w:afterAutospacing="0" w:line="360" w:lineRule="auto"/>
        <w:jc w:val="both"/>
        <w:rPr>
          <w:rFonts w:asciiTheme="majorBidi" w:hAnsiTheme="majorBidi" w:cstheme="majorBidi"/>
        </w:rPr>
      </w:pPr>
      <w:r w:rsidRPr="007D5E46">
        <w:rPr>
          <w:rFonts w:asciiTheme="majorBidi" w:hAnsiTheme="majorBidi" w:cstheme="majorBidi"/>
        </w:rPr>
        <w:t>La forme grave est l'</w:t>
      </w:r>
      <w:hyperlink r:id="rId24" w:tooltip="Acidocétose" w:history="1">
        <w:r w:rsidRPr="007D5E46">
          <w:rPr>
            <w:rStyle w:val="Lienhypertexte"/>
            <w:rFonts w:asciiTheme="majorBidi" w:hAnsiTheme="majorBidi" w:cstheme="majorBidi"/>
            <w:color w:val="auto"/>
            <w:u w:val="none"/>
          </w:rPr>
          <w:t>acidocétose</w:t>
        </w:r>
      </w:hyperlink>
      <w:r w:rsidRPr="007D5E46">
        <w:rPr>
          <w:rFonts w:asciiTheme="majorBidi" w:hAnsiTheme="majorBidi" w:cstheme="majorBidi"/>
        </w:rPr>
        <w:t>, forme d'</w:t>
      </w:r>
      <w:hyperlink r:id="rId25" w:tooltip="Acidose métabolique" w:history="1">
        <w:r w:rsidRPr="007D5E46">
          <w:rPr>
            <w:rStyle w:val="Lienhypertexte"/>
            <w:rFonts w:asciiTheme="majorBidi" w:hAnsiTheme="majorBidi" w:cstheme="majorBidi"/>
            <w:color w:val="auto"/>
            <w:u w:val="none"/>
          </w:rPr>
          <w:t>acidose métabolique</w:t>
        </w:r>
      </w:hyperlink>
      <w:r w:rsidRPr="007D5E46">
        <w:rPr>
          <w:rFonts w:asciiTheme="majorBidi" w:hAnsiTheme="majorBidi" w:cstheme="majorBidi"/>
        </w:rPr>
        <w:t> dont les conséquences sont parfois mortelles. Cette pathologie survient typiquement chez un patient atteint de diabète de type 1 victime d'un stress physiologique</w:t>
      </w:r>
      <w:r w:rsidR="00755EBB">
        <w:rPr>
          <w:rFonts w:asciiTheme="majorBidi" w:hAnsiTheme="majorBidi" w:cstheme="majorBidi"/>
        </w:rPr>
        <w:t xml:space="preserve"> </w:t>
      </w:r>
      <w:r w:rsidRPr="007D5E46">
        <w:rPr>
          <w:rFonts w:asciiTheme="majorBidi" w:hAnsiTheme="majorBidi" w:cstheme="majorBidi"/>
        </w:rPr>
        <w:t>ou d'une administration insuffisante d'</w:t>
      </w:r>
      <w:hyperlink r:id="rId26" w:tooltip="Insuline" w:history="1">
        <w:r w:rsidRPr="007D5E46">
          <w:rPr>
            <w:rStyle w:val="Lienhypertexte"/>
            <w:rFonts w:asciiTheme="majorBidi" w:hAnsiTheme="majorBidi" w:cstheme="majorBidi"/>
            <w:color w:val="auto"/>
            <w:u w:val="none"/>
          </w:rPr>
          <w:t>insuline</w:t>
        </w:r>
      </w:hyperlink>
      <w:r w:rsidRPr="007D5E46">
        <w:rPr>
          <w:rFonts w:asciiTheme="majorBidi" w:hAnsiTheme="majorBidi" w:cstheme="majorBidi"/>
        </w:rPr>
        <w:t>. La </w:t>
      </w:r>
      <w:hyperlink r:id="rId27" w:tooltip="Glycémie" w:history="1">
        <w:r w:rsidRPr="007D5E46">
          <w:rPr>
            <w:rStyle w:val="Lienhypertexte"/>
            <w:rFonts w:asciiTheme="majorBidi" w:hAnsiTheme="majorBidi" w:cstheme="majorBidi"/>
            <w:color w:val="auto"/>
            <w:u w:val="none"/>
          </w:rPr>
          <w:t>glycémie</w:t>
        </w:r>
      </w:hyperlink>
      <w:r w:rsidRPr="007D5E46">
        <w:rPr>
          <w:rFonts w:asciiTheme="majorBidi" w:hAnsiTheme="majorBidi" w:cstheme="majorBidi"/>
        </w:rPr>
        <w:t> et la cétonémie augmentent significativement et les corps cétoniques abaissent le </w:t>
      </w:r>
      <w:hyperlink r:id="rId28" w:tooltip="Potentiel hydrogène" w:history="1">
        <w:r w:rsidRPr="007D5E46">
          <w:rPr>
            <w:rStyle w:val="Lienhypertexte"/>
            <w:rFonts w:asciiTheme="majorBidi" w:hAnsiTheme="majorBidi" w:cstheme="majorBidi"/>
            <w:color w:val="auto"/>
            <w:u w:val="none"/>
          </w:rPr>
          <w:t>pH</w:t>
        </w:r>
      </w:hyperlink>
      <w:r w:rsidRPr="007D5E46">
        <w:rPr>
          <w:rFonts w:asciiTheme="majorBidi" w:hAnsiTheme="majorBidi" w:cstheme="majorBidi"/>
        </w:rPr>
        <w:t> du sang, ce qui provoque l'excrétion du glucose et des corps cétoniques par les </w:t>
      </w:r>
      <w:hyperlink r:id="rId29" w:tooltip="Rein" w:history="1">
        <w:r w:rsidRPr="007D5E46">
          <w:rPr>
            <w:rStyle w:val="Lienhypertexte"/>
            <w:rFonts w:asciiTheme="majorBidi" w:hAnsiTheme="majorBidi" w:cstheme="majorBidi"/>
            <w:color w:val="auto"/>
            <w:u w:val="none"/>
          </w:rPr>
          <w:t>reins</w:t>
        </w:r>
      </w:hyperlink>
      <w:r w:rsidRPr="007D5E46">
        <w:rPr>
          <w:rFonts w:asciiTheme="majorBidi" w:hAnsiTheme="majorBidi" w:cstheme="majorBidi"/>
        </w:rPr>
        <w:t>. Il s'ensuit une </w:t>
      </w:r>
      <w:hyperlink r:id="rId30" w:tooltip="Diurèse" w:history="1">
        <w:r w:rsidRPr="007D5E46">
          <w:rPr>
            <w:rStyle w:val="Lienhypertexte"/>
            <w:rFonts w:asciiTheme="majorBidi" w:hAnsiTheme="majorBidi" w:cstheme="majorBidi"/>
            <w:color w:val="auto"/>
            <w:u w:val="none"/>
          </w:rPr>
          <w:t>diurèse</w:t>
        </w:r>
      </w:hyperlink>
      <w:r w:rsidRPr="007D5E46">
        <w:rPr>
          <w:rFonts w:asciiTheme="majorBidi" w:hAnsiTheme="majorBidi" w:cstheme="majorBidi"/>
        </w:rPr>
        <w:t> osmotique du glucose qui accentue l'excrétion de l'eau et des </w:t>
      </w:r>
      <w:hyperlink r:id="rId31" w:tooltip="Électrolyte" w:history="1">
        <w:r w:rsidRPr="007D5E46">
          <w:rPr>
            <w:rStyle w:val="Lienhypertexte"/>
            <w:rFonts w:asciiTheme="majorBidi" w:hAnsiTheme="majorBidi" w:cstheme="majorBidi"/>
            <w:color w:val="auto"/>
            <w:u w:val="none"/>
          </w:rPr>
          <w:t>électrolytes</w:t>
        </w:r>
      </w:hyperlink>
      <w:r w:rsidRPr="007D5E46">
        <w:rPr>
          <w:rFonts w:asciiTheme="majorBidi" w:hAnsiTheme="majorBidi" w:cstheme="majorBidi"/>
        </w:rPr>
        <w:t> du sang, d'où un risque de </w:t>
      </w:r>
      <w:hyperlink r:id="rId32" w:tooltip="Déshydratation (médecine)" w:history="1">
        <w:r w:rsidRPr="007D5E46">
          <w:rPr>
            <w:rStyle w:val="Lienhypertexte"/>
            <w:rFonts w:asciiTheme="majorBidi" w:hAnsiTheme="majorBidi" w:cstheme="majorBidi"/>
            <w:color w:val="auto"/>
            <w:u w:val="none"/>
          </w:rPr>
          <w:t>déshydratation</w:t>
        </w:r>
      </w:hyperlink>
      <w:r w:rsidRPr="007D5E46">
        <w:rPr>
          <w:rFonts w:asciiTheme="majorBidi" w:hAnsiTheme="majorBidi" w:cstheme="majorBidi"/>
        </w:rPr>
        <w:t>, de </w:t>
      </w:r>
      <w:hyperlink r:id="rId33" w:tooltip="Tachycardie" w:history="1">
        <w:r w:rsidRPr="007D5E46">
          <w:rPr>
            <w:rStyle w:val="Lienhypertexte"/>
            <w:rFonts w:asciiTheme="majorBidi" w:hAnsiTheme="majorBidi" w:cstheme="majorBidi"/>
            <w:color w:val="auto"/>
            <w:u w:val="none"/>
          </w:rPr>
          <w:t>tachycardie</w:t>
        </w:r>
      </w:hyperlink>
      <w:r w:rsidRPr="007D5E46">
        <w:rPr>
          <w:rFonts w:asciiTheme="majorBidi" w:hAnsiTheme="majorBidi" w:cstheme="majorBidi"/>
        </w:rPr>
        <w:t> et d'</w:t>
      </w:r>
      <w:hyperlink r:id="rId34" w:tooltip="Hypotension artérielle" w:history="1">
        <w:r w:rsidRPr="007D5E46">
          <w:rPr>
            <w:rStyle w:val="Lienhypertexte"/>
            <w:rFonts w:asciiTheme="majorBidi" w:hAnsiTheme="majorBidi" w:cstheme="majorBidi"/>
            <w:color w:val="auto"/>
            <w:u w:val="none"/>
          </w:rPr>
          <w:t>hypotension artérielle</w:t>
        </w:r>
      </w:hyperlink>
      <w:r w:rsidRPr="007D5E46">
        <w:rPr>
          <w:rFonts w:asciiTheme="majorBidi" w:hAnsiTheme="majorBidi" w:cstheme="majorBidi"/>
        </w:rPr>
        <w:t> mortelles.</w:t>
      </w:r>
    </w:p>
    <w:p w:rsidR="00755EBB" w:rsidRPr="007D5E46" w:rsidRDefault="00755EBB" w:rsidP="00755EBB">
      <w:pPr>
        <w:pStyle w:val="NormalWeb"/>
        <w:shd w:val="clear" w:color="auto" w:fill="FFFFFF"/>
        <w:spacing w:before="120" w:beforeAutospacing="0" w:after="120" w:afterAutospacing="0" w:line="360" w:lineRule="auto"/>
        <w:jc w:val="both"/>
        <w:rPr>
          <w:rFonts w:asciiTheme="majorBidi" w:hAnsiTheme="majorBidi" w:cstheme="majorBidi"/>
        </w:rPr>
      </w:pPr>
      <w:r>
        <w:rPr>
          <w:rFonts w:asciiTheme="majorBidi" w:hAnsiTheme="majorBidi" w:cstheme="majorBidi"/>
        </w:rPr>
        <w:t xml:space="preserve">Le dosage des corps cétonique est basé sur une réaction colorimétrique. </w:t>
      </w:r>
      <w:r>
        <w:t>Les corps cétoniques réagissent au nitroprussiate de sodium et au glycocolle (glycine) pour former en milieu alcalin un composé de coloration violette.</w:t>
      </w:r>
    </w:p>
    <w:p w:rsidR="007D5E46" w:rsidRPr="007D5E46" w:rsidRDefault="007D5E46" w:rsidP="007D5E46">
      <w:pPr>
        <w:tabs>
          <w:tab w:val="left" w:pos="2295"/>
        </w:tabs>
        <w:spacing w:line="360" w:lineRule="auto"/>
        <w:jc w:val="both"/>
        <w:rPr>
          <w:rFonts w:asciiTheme="majorBidi" w:hAnsiTheme="majorBidi" w:cstheme="majorBidi"/>
          <w:sz w:val="24"/>
          <w:szCs w:val="24"/>
        </w:rPr>
      </w:pPr>
    </w:p>
    <w:sectPr w:rsidR="007D5E46" w:rsidRPr="007D5E46" w:rsidSect="00C1532E">
      <w:headerReference w:type="default" r:id="rId35"/>
      <w:footerReference w:type="default" r:id="rId36"/>
      <w:pgSz w:w="11906" w:h="16838"/>
      <w:pgMar w:top="1417" w:right="1417" w:bottom="1417" w:left="1417" w:header="708" w:footer="708"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873DB" w:rsidRDefault="00B873DB" w:rsidP="0063254E">
      <w:pPr>
        <w:spacing w:after="0" w:line="240" w:lineRule="auto"/>
      </w:pPr>
      <w:r>
        <w:separator/>
      </w:r>
    </w:p>
  </w:endnote>
  <w:endnote w:type="continuationSeparator" w:id="1">
    <w:p w:rsidR="00B873DB" w:rsidRDefault="00B873DB" w:rsidP="0063254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ato">
    <w:altName w:val="Times New Roman"/>
    <w:panose1 w:val="00000000000000000000"/>
    <w:charset w:val="00"/>
    <w:family w:val="roman"/>
    <w:notTrueType/>
    <w:pitch w:val="default"/>
    <w:sig w:usb0="00000000" w:usb1="00000000" w:usb2="00000000" w:usb3="00000000" w:csb0="00000000" w:csb1="00000000"/>
  </w:font>
  <w:font w:name="Calibri Light">
    <w:altName w:val="Calibri"/>
    <w:charset w:val="00"/>
    <w:family w:val="swiss"/>
    <w:pitch w:val="variable"/>
    <w:sig w:usb0="00000001" w:usb1="4000207B" w:usb2="00000000" w:usb3="00000000" w:csb0="0000019F" w:csb1="00000000"/>
  </w:font>
  <w:font w:name="Centaur">
    <w:panose1 w:val="02030504050205020304"/>
    <w:charset w:val="00"/>
    <w:family w:val="roman"/>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0EBC" w:rsidRPr="00513DD9" w:rsidRDefault="003A0EBC" w:rsidP="003A0EBC">
    <w:pPr>
      <w:pStyle w:val="En-tte"/>
      <w:rPr>
        <w:i/>
        <w:iCs/>
        <w:sz w:val="24"/>
        <w:szCs w:val="24"/>
        <w:u w:val="single"/>
      </w:rPr>
    </w:pPr>
    <w:r w:rsidRPr="00513DD9">
      <w:rPr>
        <w:rFonts w:ascii="Centaur" w:eastAsia="Times New Roman" w:hAnsi="Centaur" w:cs="Times New Roman"/>
        <w:b/>
        <w:bCs/>
        <w:i/>
        <w:iCs/>
        <w:sz w:val="24"/>
        <w:szCs w:val="24"/>
        <w:u w:val="single"/>
      </w:rPr>
      <w:t xml:space="preserve">            </w:t>
    </w:r>
    <w:r>
      <w:rPr>
        <w:rFonts w:ascii="Centaur" w:eastAsia="Times New Roman" w:hAnsi="Centaur" w:cs="Times New Roman"/>
        <w:b/>
        <w:bCs/>
        <w:i/>
        <w:iCs/>
        <w:sz w:val="24"/>
        <w:szCs w:val="24"/>
        <w:u w:val="single"/>
      </w:rPr>
      <w:t xml:space="preserve">                 </w:t>
    </w:r>
    <w:r w:rsidRPr="00513DD9">
      <w:rPr>
        <w:rFonts w:ascii="Centaur" w:eastAsia="Times New Roman" w:hAnsi="Centaur" w:cs="Times New Roman"/>
        <w:b/>
        <w:bCs/>
        <w:i/>
        <w:iCs/>
        <w:sz w:val="24"/>
        <w:szCs w:val="24"/>
        <w:u w:val="single"/>
      </w:rPr>
      <w:t xml:space="preserve">                                                    </w:t>
    </w:r>
    <w:r>
      <w:rPr>
        <w:rFonts w:ascii="Centaur" w:eastAsia="Times New Roman" w:hAnsi="Centaur" w:cs="Times New Roman"/>
        <w:b/>
        <w:bCs/>
        <w:i/>
        <w:iCs/>
        <w:sz w:val="24"/>
        <w:szCs w:val="24"/>
        <w:u w:val="single"/>
      </w:rPr>
      <w:t xml:space="preserve">                             BELAID</w:t>
    </w:r>
    <w:r w:rsidRPr="00513DD9">
      <w:rPr>
        <w:rFonts w:ascii="Centaur" w:eastAsia="Times New Roman" w:hAnsi="Centaur" w:cs="Times New Roman"/>
        <w:b/>
        <w:bCs/>
        <w:i/>
        <w:iCs/>
        <w:sz w:val="24"/>
        <w:szCs w:val="24"/>
        <w:u w:val="single"/>
      </w:rPr>
      <w:t xml:space="preserve"> MEDJDOUB H.</w:t>
    </w:r>
  </w:p>
  <w:p w:rsidR="00096574" w:rsidRDefault="00096574">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873DB" w:rsidRDefault="00B873DB" w:rsidP="0063254E">
      <w:pPr>
        <w:spacing w:after="0" w:line="240" w:lineRule="auto"/>
      </w:pPr>
      <w:r>
        <w:separator/>
      </w:r>
    </w:p>
  </w:footnote>
  <w:footnote w:type="continuationSeparator" w:id="1">
    <w:p w:rsidR="00B873DB" w:rsidRDefault="00B873DB" w:rsidP="0063254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6574" w:rsidRPr="00742E0B" w:rsidRDefault="006D6A8A" w:rsidP="001A16F6">
    <w:pPr>
      <w:pStyle w:val="En-tte"/>
      <w:rPr>
        <w:szCs w:val="28"/>
      </w:rPr>
    </w:pPr>
    <w:sdt>
      <w:sdtPr>
        <w:rPr>
          <w:rFonts w:ascii="Times New Roman" w:hAnsi="Times New Roman" w:cs="Times New Roman"/>
          <w:b/>
          <w:bCs/>
          <w:i/>
          <w:iCs/>
          <w:sz w:val="24"/>
          <w:szCs w:val="24"/>
          <w:u w:val="single"/>
        </w:rPr>
        <w:id w:val="1887004"/>
        <w:docPartObj>
          <w:docPartGallery w:val="Page Numbers (Margins)"/>
          <w:docPartUnique/>
        </w:docPartObj>
      </w:sdtPr>
      <w:sdtContent>
        <w:r w:rsidRPr="006D6A8A">
          <w:rPr>
            <w:rFonts w:ascii="Times New Roman" w:hAnsi="Times New Roman" w:cs="Times New Roman"/>
            <w:b/>
            <w:bCs/>
            <w:i/>
            <w:iCs/>
            <w:noProof/>
            <w:sz w:val="24"/>
            <w:szCs w:val="24"/>
            <w:u w:val="single"/>
            <w:lang w:eastAsia="zh-TW"/>
          </w:rPr>
          <w:pict>
            <v:rect id="_x0000_s4100" style="position:absolute;margin-left:0;margin-top:0;width:40.9pt;height:171.9pt;z-index:251660288;mso-position-horizontal:center;mso-position-horizontal-relative:right-margin-area;mso-position-vertical:bottom;mso-position-vertical-relative:margin;v-text-anchor:middle" o:allowincell="f" filled="f" stroked="f">
              <v:textbox style="layout-flow:vertical;mso-layout-flow-alt:bottom-to-top;mso-next-textbox:#_x0000_s4100;mso-fit-shape-to-text:t">
                <w:txbxContent>
                  <w:p w:rsidR="003A0EBC" w:rsidRDefault="003A0EBC">
                    <w:pPr>
                      <w:pStyle w:val="Pieddepage"/>
                      <w:rPr>
                        <w:rFonts w:asciiTheme="majorHAnsi" w:hAnsiTheme="majorHAnsi"/>
                        <w:sz w:val="44"/>
                        <w:szCs w:val="44"/>
                      </w:rPr>
                    </w:pPr>
                    <w:r>
                      <w:rPr>
                        <w:rFonts w:asciiTheme="majorHAnsi" w:hAnsiTheme="majorHAnsi"/>
                      </w:rPr>
                      <w:t>Page</w:t>
                    </w:r>
                    <w:fldSimple w:instr=" PAGE    \* MERGEFORMAT ">
                      <w:r w:rsidR="001A16F6" w:rsidRPr="001A16F6">
                        <w:rPr>
                          <w:rFonts w:asciiTheme="majorHAnsi" w:hAnsiTheme="majorHAnsi"/>
                          <w:noProof/>
                          <w:sz w:val="44"/>
                          <w:szCs w:val="44"/>
                        </w:rPr>
                        <w:t>2</w:t>
                      </w:r>
                    </w:fldSimple>
                  </w:p>
                </w:txbxContent>
              </v:textbox>
              <w10:wrap anchorx="page" anchory="margin"/>
            </v:rect>
          </w:pict>
        </w:r>
      </w:sdtContent>
    </w:sdt>
    <w:r w:rsidR="001A16F6">
      <w:rPr>
        <w:rFonts w:ascii="Times New Roman" w:hAnsi="Times New Roman" w:cs="Times New Roman"/>
        <w:b/>
        <w:bCs/>
        <w:i/>
        <w:iCs/>
        <w:sz w:val="24"/>
        <w:szCs w:val="24"/>
        <w:u w:val="single"/>
      </w:rPr>
      <w:t>Master I Nutrition et Pathologie</w:t>
    </w:r>
    <w:r w:rsidR="00742E0B">
      <w:rPr>
        <w:rFonts w:ascii="Times New Roman" w:hAnsi="Times New Roman" w:cs="Times New Roman"/>
        <w:b/>
        <w:bCs/>
        <w:i/>
        <w:iCs/>
        <w:sz w:val="24"/>
        <w:szCs w:val="24"/>
        <w:u w:val="single"/>
      </w:rPr>
      <w:t xml:space="preserve">             </w:t>
    </w:r>
    <w:r w:rsidR="00742E0B" w:rsidRPr="00513DD9">
      <w:rPr>
        <w:rFonts w:ascii="Times New Roman" w:hAnsi="Times New Roman" w:cs="Times New Roman"/>
        <w:b/>
        <w:bCs/>
        <w:i/>
        <w:iCs/>
        <w:sz w:val="24"/>
        <w:szCs w:val="24"/>
        <w:u w:val="single"/>
      </w:rPr>
      <w:t xml:space="preserve">            </w:t>
    </w:r>
    <w:r w:rsidR="001A16F6">
      <w:rPr>
        <w:rFonts w:ascii="Times New Roman" w:hAnsi="Times New Roman" w:cs="Times New Roman"/>
        <w:b/>
        <w:bCs/>
        <w:i/>
        <w:iCs/>
        <w:sz w:val="24"/>
        <w:szCs w:val="24"/>
        <w:u w:val="single"/>
      </w:rPr>
      <w:t xml:space="preserve">   </w:t>
    </w:r>
    <w:r w:rsidR="00742E0B" w:rsidRPr="00513DD9">
      <w:rPr>
        <w:rFonts w:ascii="Times New Roman" w:hAnsi="Times New Roman" w:cs="Times New Roman"/>
        <w:b/>
        <w:bCs/>
        <w:i/>
        <w:iCs/>
        <w:sz w:val="24"/>
        <w:szCs w:val="24"/>
        <w:u w:val="single"/>
      </w:rPr>
      <w:t xml:space="preserve"> </w:t>
    </w:r>
    <w:r w:rsidR="001A16F6">
      <w:rPr>
        <w:rFonts w:ascii="Times New Roman" w:hAnsi="Times New Roman" w:cs="Times New Roman"/>
        <w:b/>
        <w:bCs/>
        <w:i/>
        <w:iCs/>
        <w:sz w:val="24"/>
        <w:szCs w:val="24"/>
        <w:u w:val="single"/>
      </w:rPr>
      <w:t xml:space="preserve">                              </w:t>
    </w:r>
    <w:r w:rsidR="00742E0B" w:rsidRPr="00513DD9">
      <w:rPr>
        <w:rFonts w:ascii="Times New Roman" w:hAnsi="Times New Roman" w:cs="Times New Roman"/>
        <w:b/>
        <w:bCs/>
        <w:i/>
        <w:iCs/>
        <w:sz w:val="24"/>
        <w:szCs w:val="24"/>
        <w:u w:val="single"/>
      </w:rPr>
      <w:t xml:space="preserve">Biochimie </w:t>
    </w:r>
    <w:r w:rsidR="001A16F6">
      <w:rPr>
        <w:rFonts w:ascii="Times New Roman" w:hAnsi="Times New Roman" w:cs="Times New Roman"/>
        <w:b/>
        <w:bCs/>
        <w:i/>
        <w:iCs/>
        <w:sz w:val="24"/>
        <w:szCs w:val="24"/>
        <w:u w:val="single"/>
      </w:rPr>
      <w:t>clinique</w:t>
    </w:r>
    <w:r w:rsidR="00742E0B" w:rsidRPr="00513DD9">
      <w:rPr>
        <w:rFonts w:ascii="Times New Roman" w:hAnsi="Times New Roman" w:cs="Times New Roman"/>
        <w:b/>
        <w:bCs/>
        <w:i/>
        <w:iCs/>
        <w:sz w:val="24"/>
        <w:szCs w:val="24"/>
        <w:u w:val="single"/>
      </w:rPr>
      <w:t xml:space="preserve">  </w:t>
    </w:r>
    <w:r w:rsidR="00742E0B" w:rsidRPr="00513DD9">
      <w:rPr>
        <w:rFonts w:ascii="Centaur" w:eastAsia="Times New Roman" w:hAnsi="Centaur" w:cs="Times New Roman"/>
        <w:b/>
        <w:bCs/>
        <w:i/>
        <w:iCs/>
        <w:sz w:val="24"/>
        <w:szCs w:val="24"/>
        <w:u w:val="single"/>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BB3D5D"/>
    <w:multiLevelType w:val="multilevel"/>
    <w:tmpl w:val="92844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CDF217C"/>
    <w:multiLevelType w:val="hybridMultilevel"/>
    <w:tmpl w:val="454E18C8"/>
    <w:lvl w:ilvl="0" w:tplc="3AD8D992">
      <w:numFmt w:val="bullet"/>
      <w:lvlText w:val="-"/>
      <w:lvlJc w:val="left"/>
      <w:pPr>
        <w:ind w:left="1068" w:hanging="360"/>
      </w:pPr>
      <w:rPr>
        <w:rFonts w:ascii="Times New Roman" w:eastAsiaTheme="minorHAnsi" w:hAnsi="Times New Roman" w:cs="Times New Roman"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
    <w:nsid w:val="6E283C97"/>
    <w:multiLevelType w:val="hybridMultilevel"/>
    <w:tmpl w:val="76368182"/>
    <w:lvl w:ilvl="0" w:tplc="040C0001">
      <w:start w:val="1"/>
      <w:numFmt w:val="bullet"/>
      <w:lvlText w:val=""/>
      <w:lvlJc w:val="left"/>
      <w:pPr>
        <w:ind w:left="705" w:hanging="360"/>
      </w:pPr>
      <w:rPr>
        <w:rFonts w:ascii="Symbol" w:hAnsi="Symbol" w:hint="default"/>
      </w:rPr>
    </w:lvl>
    <w:lvl w:ilvl="1" w:tplc="040C0003" w:tentative="1">
      <w:start w:val="1"/>
      <w:numFmt w:val="bullet"/>
      <w:lvlText w:val="o"/>
      <w:lvlJc w:val="left"/>
      <w:pPr>
        <w:ind w:left="1425" w:hanging="360"/>
      </w:pPr>
      <w:rPr>
        <w:rFonts w:ascii="Courier New" w:hAnsi="Courier New" w:cs="Courier New" w:hint="default"/>
      </w:rPr>
    </w:lvl>
    <w:lvl w:ilvl="2" w:tplc="040C0005" w:tentative="1">
      <w:start w:val="1"/>
      <w:numFmt w:val="bullet"/>
      <w:lvlText w:val=""/>
      <w:lvlJc w:val="left"/>
      <w:pPr>
        <w:ind w:left="2145" w:hanging="360"/>
      </w:pPr>
      <w:rPr>
        <w:rFonts w:ascii="Wingdings" w:hAnsi="Wingdings" w:hint="default"/>
      </w:rPr>
    </w:lvl>
    <w:lvl w:ilvl="3" w:tplc="040C0001" w:tentative="1">
      <w:start w:val="1"/>
      <w:numFmt w:val="bullet"/>
      <w:lvlText w:val=""/>
      <w:lvlJc w:val="left"/>
      <w:pPr>
        <w:ind w:left="2865" w:hanging="360"/>
      </w:pPr>
      <w:rPr>
        <w:rFonts w:ascii="Symbol" w:hAnsi="Symbol" w:hint="default"/>
      </w:rPr>
    </w:lvl>
    <w:lvl w:ilvl="4" w:tplc="040C0003" w:tentative="1">
      <w:start w:val="1"/>
      <w:numFmt w:val="bullet"/>
      <w:lvlText w:val="o"/>
      <w:lvlJc w:val="left"/>
      <w:pPr>
        <w:ind w:left="3585" w:hanging="360"/>
      </w:pPr>
      <w:rPr>
        <w:rFonts w:ascii="Courier New" w:hAnsi="Courier New" w:cs="Courier New" w:hint="default"/>
      </w:rPr>
    </w:lvl>
    <w:lvl w:ilvl="5" w:tplc="040C0005" w:tentative="1">
      <w:start w:val="1"/>
      <w:numFmt w:val="bullet"/>
      <w:lvlText w:val=""/>
      <w:lvlJc w:val="left"/>
      <w:pPr>
        <w:ind w:left="4305" w:hanging="360"/>
      </w:pPr>
      <w:rPr>
        <w:rFonts w:ascii="Wingdings" w:hAnsi="Wingdings" w:hint="default"/>
      </w:rPr>
    </w:lvl>
    <w:lvl w:ilvl="6" w:tplc="040C0001" w:tentative="1">
      <w:start w:val="1"/>
      <w:numFmt w:val="bullet"/>
      <w:lvlText w:val=""/>
      <w:lvlJc w:val="left"/>
      <w:pPr>
        <w:ind w:left="5025" w:hanging="360"/>
      </w:pPr>
      <w:rPr>
        <w:rFonts w:ascii="Symbol" w:hAnsi="Symbol" w:hint="default"/>
      </w:rPr>
    </w:lvl>
    <w:lvl w:ilvl="7" w:tplc="040C0003" w:tentative="1">
      <w:start w:val="1"/>
      <w:numFmt w:val="bullet"/>
      <w:lvlText w:val="o"/>
      <w:lvlJc w:val="left"/>
      <w:pPr>
        <w:ind w:left="5745" w:hanging="360"/>
      </w:pPr>
      <w:rPr>
        <w:rFonts w:ascii="Courier New" w:hAnsi="Courier New" w:cs="Courier New" w:hint="default"/>
      </w:rPr>
    </w:lvl>
    <w:lvl w:ilvl="8" w:tplc="040C0005" w:tentative="1">
      <w:start w:val="1"/>
      <w:numFmt w:val="bullet"/>
      <w:lvlText w:val=""/>
      <w:lvlJc w:val="left"/>
      <w:pPr>
        <w:ind w:left="6465"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15362"/>
    <o:shapelayout v:ext="edit">
      <o:idmap v:ext="edit" data="4"/>
    </o:shapelayout>
  </w:hdrShapeDefaults>
  <w:footnotePr>
    <w:footnote w:id="0"/>
    <w:footnote w:id="1"/>
  </w:footnotePr>
  <w:endnotePr>
    <w:endnote w:id="0"/>
    <w:endnote w:id="1"/>
  </w:endnotePr>
  <w:compat/>
  <w:rsids>
    <w:rsidRoot w:val="00761420"/>
    <w:rsid w:val="00003125"/>
    <w:rsid w:val="00025EB1"/>
    <w:rsid w:val="0003240F"/>
    <w:rsid w:val="00071464"/>
    <w:rsid w:val="00077DBD"/>
    <w:rsid w:val="00096574"/>
    <w:rsid w:val="000B0B3D"/>
    <w:rsid w:val="0015770A"/>
    <w:rsid w:val="00164B1E"/>
    <w:rsid w:val="00197055"/>
    <w:rsid w:val="001A16F6"/>
    <w:rsid w:val="001C5D9B"/>
    <w:rsid w:val="001E0043"/>
    <w:rsid w:val="00256C4C"/>
    <w:rsid w:val="00267D11"/>
    <w:rsid w:val="002A71D0"/>
    <w:rsid w:val="002D5B74"/>
    <w:rsid w:val="003A0EBC"/>
    <w:rsid w:val="0045380C"/>
    <w:rsid w:val="004B6226"/>
    <w:rsid w:val="004D0A4C"/>
    <w:rsid w:val="005121B6"/>
    <w:rsid w:val="005457B4"/>
    <w:rsid w:val="005B3F63"/>
    <w:rsid w:val="005C08B5"/>
    <w:rsid w:val="005D54FA"/>
    <w:rsid w:val="005F54BB"/>
    <w:rsid w:val="00630DE6"/>
    <w:rsid w:val="0063254E"/>
    <w:rsid w:val="00675810"/>
    <w:rsid w:val="006C6911"/>
    <w:rsid w:val="006D6A8A"/>
    <w:rsid w:val="007110FE"/>
    <w:rsid w:val="007364CE"/>
    <w:rsid w:val="00742E0B"/>
    <w:rsid w:val="00755EBB"/>
    <w:rsid w:val="00761420"/>
    <w:rsid w:val="007D5E46"/>
    <w:rsid w:val="00831C85"/>
    <w:rsid w:val="0084185B"/>
    <w:rsid w:val="009F4D04"/>
    <w:rsid w:val="00A20A52"/>
    <w:rsid w:val="00A507C6"/>
    <w:rsid w:val="00B873DB"/>
    <w:rsid w:val="00C1532E"/>
    <w:rsid w:val="00C1689F"/>
    <w:rsid w:val="00C36260"/>
    <w:rsid w:val="00C53DCB"/>
    <w:rsid w:val="00C5721B"/>
    <w:rsid w:val="00C93651"/>
    <w:rsid w:val="00CE7370"/>
    <w:rsid w:val="00D75B19"/>
    <w:rsid w:val="00DA5AEA"/>
    <w:rsid w:val="00DC1E68"/>
    <w:rsid w:val="00DE272E"/>
    <w:rsid w:val="00E67496"/>
    <w:rsid w:val="00E96C82"/>
    <w:rsid w:val="00ED0230"/>
    <w:rsid w:val="00F034FF"/>
    <w:rsid w:val="00F250EF"/>
    <w:rsid w:val="00F470E5"/>
    <w:rsid w:val="00FB4C52"/>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1420"/>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761420"/>
    <w:pPr>
      <w:ind w:left="720"/>
      <w:contextualSpacing/>
    </w:pPr>
  </w:style>
  <w:style w:type="paragraph" w:styleId="En-tte">
    <w:name w:val="header"/>
    <w:basedOn w:val="Normal"/>
    <w:link w:val="En-tteCar"/>
    <w:uiPriority w:val="99"/>
    <w:unhideWhenUsed/>
    <w:rsid w:val="0063254E"/>
    <w:pPr>
      <w:tabs>
        <w:tab w:val="center" w:pos="4536"/>
        <w:tab w:val="right" w:pos="9072"/>
      </w:tabs>
      <w:spacing w:after="0" w:line="240" w:lineRule="auto"/>
    </w:pPr>
  </w:style>
  <w:style w:type="character" w:customStyle="1" w:styleId="En-tteCar">
    <w:name w:val="En-tête Car"/>
    <w:basedOn w:val="Policepardfaut"/>
    <w:link w:val="En-tte"/>
    <w:uiPriority w:val="99"/>
    <w:rsid w:val="0063254E"/>
  </w:style>
  <w:style w:type="paragraph" w:styleId="Pieddepage">
    <w:name w:val="footer"/>
    <w:basedOn w:val="Normal"/>
    <w:link w:val="PieddepageCar"/>
    <w:uiPriority w:val="99"/>
    <w:unhideWhenUsed/>
    <w:rsid w:val="0063254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3254E"/>
  </w:style>
  <w:style w:type="paragraph" w:styleId="Textedebulles">
    <w:name w:val="Balloon Text"/>
    <w:basedOn w:val="Normal"/>
    <w:link w:val="TextedebullesCar"/>
    <w:uiPriority w:val="99"/>
    <w:semiHidden/>
    <w:unhideWhenUsed/>
    <w:rsid w:val="0084185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84185B"/>
    <w:rPr>
      <w:rFonts w:ascii="Tahoma" w:hAnsi="Tahoma" w:cs="Tahoma"/>
      <w:sz w:val="16"/>
      <w:szCs w:val="16"/>
    </w:rPr>
  </w:style>
  <w:style w:type="paragraph" w:styleId="NormalWeb">
    <w:name w:val="Normal (Web)"/>
    <w:basedOn w:val="Normal"/>
    <w:uiPriority w:val="99"/>
    <w:unhideWhenUsed/>
    <w:rsid w:val="00742E0B"/>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semiHidden/>
    <w:unhideWhenUsed/>
    <w:rsid w:val="00675810"/>
    <w:rPr>
      <w:color w:val="0000FF"/>
      <w:u w:val="single"/>
    </w:rPr>
  </w:style>
  <w:style w:type="character" w:styleId="lev">
    <w:name w:val="Strong"/>
    <w:basedOn w:val="Policepardfaut"/>
    <w:uiPriority w:val="22"/>
    <w:qFormat/>
    <w:rsid w:val="002D5B74"/>
    <w:rPr>
      <w:b/>
      <w:bCs/>
    </w:rPr>
  </w:style>
  <w:style w:type="character" w:customStyle="1" w:styleId="nowrap">
    <w:name w:val="nowrap"/>
    <w:basedOn w:val="Policepardfaut"/>
    <w:rsid w:val="007D5E46"/>
  </w:style>
</w:styles>
</file>

<file path=word/webSettings.xml><?xml version="1.0" encoding="utf-8"?>
<w:webSettings xmlns:r="http://schemas.openxmlformats.org/officeDocument/2006/relationships" xmlns:w="http://schemas.openxmlformats.org/wordprocessingml/2006/main">
  <w:divs>
    <w:div w:id="988828548">
      <w:bodyDiv w:val="1"/>
      <w:marLeft w:val="0"/>
      <w:marRight w:val="0"/>
      <w:marTop w:val="0"/>
      <w:marBottom w:val="0"/>
      <w:divBdr>
        <w:top w:val="none" w:sz="0" w:space="0" w:color="auto"/>
        <w:left w:val="none" w:sz="0" w:space="0" w:color="auto"/>
        <w:bottom w:val="none" w:sz="0" w:space="0" w:color="auto"/>
        <w:right w:val="none" w:sz="0" w:space="0" w:color="auto"/>
      </w:divBdr>
    </w:div>
    <w:div w:id="1644235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r.wikipedia.org/wiki/Hyperglyc%C3%A9mie" TargetMode="External"/><Relationship Id="rId13" Type="http://schemas.openxmlformats.org/officeDocument/2006/relationships/image" Target="media/image5.png"/><Relationship Id="rId18" Type="http://schemas.openxmlformats.org/officeDocument/2006/relationships/hyperlink" Target="https://fr.wikipedia.org/wiki/Acide_gras" TargetMode="External"/><Relationship Id="rId26" Type="http://schemas.openxmlformats.org/officeDocument/2006/relationships/hyperlink" Target="https://fr.wikipedia.org/wiki/Insuline" TargetMode="External"/><Relationship Id="rId3" Type="http://schemas.openxmlformats.org/officeDocument/2006/relationships/settings" Target="settings.xml"/><Relationship Id="rId21" Type="http://schemas.openxmlformats.org/officeDocument/2006/relationships/hyperlink" Target="https://fr.wikipedia.org/wiki/C%C3%A9ton%C3%A9mie" TargetMode="External"/><Relationship Id="rId34" Type="http://schemas.openxmlformats.org/officeDocument/2006/relationships/hyperlink" Target="https://fr.wikipedia.org/wiki/Hypotension_art%C3%A9rielle" TargetMode="External"/><Relationship Id="rId7" Type="http://schemas.openxmlformats.org/officeDocument/2006/relationships/image" Target="media/image1.png"/><Relationship Id="rId12" Type="http://schemas.openxmlformats.org/officeDocument/2006/relationships/image" Target="media/image4.png"/><Relationship Id="rId17" Type="http://schemas.openxmlformats.org/officeDocument/2006/relationships/hyperlink" Target="https://fr.wikipedia.org/wiki/Lipide" TargetMode="External"/><Relationship Id="rId25" Type="http://schemas.openxmlformats.org/officeDocument/2006/relationships/hyperlink" Target="https://fr.wikipedia.org/wiki/Acidose_m%C3%A9tabolique" TargetMode="External"/><Relationship Id="rId33" Type="http://schemas.openxmlformats.org/officeDocument/2006/relationships/hyperlink" Target="https://fr.wikipedia.org/wiki/Tachycardie" TargetMode="Externa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fr.wikipedia.org/wiki/Catabolisme" TargetMode="External"/><Relationship Id="rId20" Type="http://schemas.openxmlformats.org/officeDocument/2006/relationships/hyperlink" Target="https://fr.wikipedia.org/wiki/Glucose" TargetMode="External"/><Relationship Id="rId29" Type="http://schemas.openxmlformats.org/officeDocument/2006/relationships/hyperlink" Target="https://fr.wikipedia.org/wiki/Rein"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24" Type="http://schemas.openxmlformats.org/officeDocument/2006/relationships/hyperlink" Target="https://fr.wikipedia.org/wiki/Acidoc%C3%A9tose" TargetMode="External"/><Relationship Id="rId32" Type="http://schemas.openxmlformats.org/officeDocument/2006/relationships/hyperlink" Target="https://fr.wikipedia.org/wiki/D%C3%A9shydratation_(m%C3%A9decine)" TargetMode="Externa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fr.wikipedia.org/wiki/Foie" TargetMode="External"/><Relationship Id="rId23" Type="http://schemas.openxmlformats.org/officeDocument/2006/relationships/hyperlink" Target="https://fr.wikipedia.org/wiki/C%C3%A9tose_(di%C3%A9t%C3%A9tique)" TargetMode="External"/><Relationship Id="rId28" Type="http://schemas.openxmlformats.org/officeDocument/2006/relationships/hyperlink" Target="https://fr.wikipedia.org/wiki/Potentiel_hydrog%C3%A8ne" TargetMode="External"/><Relationship Id="rId36" Type="http://schemas.openxmlformats.org/officeDocument/2006/relationships/footer" Target="footer1.xml"/><Relationship Id="rId10" Type="http://schemas.openxmlformats.org/officeDocument/2006/relationships/image" Target="media/image2.jpeg"/><Relationship Id="rId19" Type="http://schemas.openxmlformats.org/officeDocument/2006/relationships/hyperlink" Target="https://fr.wikipedia.org/wiki/Glucide" TargetMode="External"/><Relationship Id="rId31" Type="http://schemas.openxmlformats.org/officeDocument/2006/relationships/hyperlink" Target="https://fr.wikipedia.org/wiki/%C3%89lectrolyte" TargetMode="External"/><Relationship Id="rId4" Type="http://schemas.openxmlformats.org/officeDocument/2006/relationships/webSettings" Target="webSettings.xml"/><Relationship Id="rId9" Type="http://schemas.openxmlformats.org/officeDocument/2006/relationships/hyperlink" Target="https://fr.wikipedia.org/wiki/Hypoglyc%C3%A9mie" TargetMode="External"/><Relationship Id="rId14" Type="http://schemas.openxmlformats.org/officeDocument/2006/relationships/hyperlink" Target="https://fr.wikipedia.org/wiki/C%C3%A9togen%C3%A8se" TargetMode="External"/><Relationship Id="rId22" Type="http://schemas.openxmlformats.org/officeDocument/2006/relationships/hyperlink" Target="https://fr.wikipedia.org/wiki/C%C3%A9tonurie" TargetMode="External"/><Relationship Id="rId27" Type="http://schemas.openxmlformats.org/officeDocument/2006/relationships/hyperlink" Target="https://fr.wikipedia.org/wiki/Glyc%C3%A9mie" TargetMode="External"/><Relationship Id="rId30" Type="http://schemas.openxmlformats.org/officeDocument/2006/relationships/hyperlink" Target="https://fr.wikipedia.org/wiki/Diur%C3%A8se" TargetMode="External"/><Relationship Id="rId35"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1747</TotalTime>
  <Pages>4</Pages>
  <Words>1071</Words>
  <Characters>5893</Characters>
  <Application>Microsoft Office Word</Application>
  <DocSecurity>0</DocSecurity>
  <Lines>49</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6951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Simia</dc:creator>
  <cp:keywords/>
  <dc:description/>
  <cp:lastModifiedBy>MSK Info</cp:lastModifiedBy>
  <cp:revision>22</cp:revision>
  <cp:lastPrinted>2019-12-03T21:08:00Z</cp:lastPrinted>
  <dcterms:created xsi:type="dcterms:W3CDTF">2019-06-20T14:01:00Z</dcterms:created>
  <dcterms:modified xsi:type="dcterms:W3CDTF">2020-03-10T21:09:00Z</dcterms:modified>
</cp:coreProperties>
</file>