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3FC" w:rsidRDefault="00B763FC" w:rsidP="00B763F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TD : Activité antioxydante par la méthode de décoloration du </w:t>
      </w:r>
      <w:r>
        <w:rPr>
          <w:b/>
          <w:bCs/>
          <w:sz w:val="28"/>
          <w:lang w:val="el-GR"/>
        </w:rPr>
        <w:t>β</w:t>
      </w:r>
      <w:r>
        <w:rPr>
          <w:b/>
          <w:bCs/>
          <w:sz w:val="28"/>
        </w:rPr>
        <w:t>-carotène</w:t>
      </w:r>
    </w:p>
    <w:p w:rsidR="00B763FC" w:rsidRDefault="00B763FC" w:rsidP="00B763FC">
      <w:pPr>
        <w:jc w:val="center"/>
      </w:pPr>
      <w:r>
        <w:rPr>
          <w:b/>
          <w:bCs/>
        </w:rPr>
        <w:t>(</w:t>
      </w:r>
      <w:r>
        <w:t>Sun et Ho, 2005 dans  Ozsoy et al. 2008)</w:t>
      </w:r>
    </w:p>
    <w:p w:rsidR="00B763FC" w:rsidRDefault="00B763FC" w:rsidP="00B763FC">
      <w:pPr>
        <w:rPr>
          <w:b/>
          <w:bCs/>
          <w:sz w:val="28"/>
        </w:rPr>
      </w:pPr>
      <w:r>
        <w:rPr>
          <w:b/>
          <w:sz w:val="28"/>
        </w:rPr>
        <w:t>Principe de la méthode :</w:t>
      </w:r>
    </w:p>
    <w:p w:rsidR="00B763FC" w:rsidRDefault="00B763FC" w:rsidP="00B763FC">
      <w:pPr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t>Consiste à mesurer (470 nm), la décoloration du β-carotène résultant de son oxydation par les produits de décomposition de l'acide linoléique.</w:t>
      </w:r>
    </w:p>
    <w:p w:rsidR="00B763FC" w:rsidRDefault="00B763FC" w:rsidP="00B763FC">
      <w:pPr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t>La dispersion de l'acide linoléique et du β-carotène dans la phase aqueuse est assurée par du Tween (solvant).</w:t>
      </w:r>
    </w:p>
    <w:p w:rsidR="00B763FC" w:rsidRDefault="00B763FC" w:rsidP="00B763FC">
      <w:pPr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L'oxydation de l'acide linoléique est catalysée par la chaleur </w:t>
      </w:r>
      <w:r>
        <w:rPr>
          <w:i/>
          <w:iCs/>
          <w:sz w:val="28"/>
        </w:rPr>
        <w:t xml:space="preserve">(50 </w:t>
      </w:r>
      <w:r>
        <w:rPr>
          <w:sz w:val="28"/>
        </w:rPr>
        <w:t>°C) de manière non spécifique.</w:t>
      </w:r>
    </w:p>
    <w:p w:rsidR="00B763FC" w:rsidRDefault="00B763FC" w:rsidP="00B763FC">
      <w:pPr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t>L'addition d'antioxydants purs ou sous forme d'extraits végétaux induit un retard de la cinétique de décoloration du β-carotène. Cette méthode est sensible, rapide et simple que se mésure par la spectrophotométrie dans le visible.</w:t>
      </w:r>
    </w:p>
    <w:p w:rsidR="00B763FC" w:rsidRDefault="00B763FC" w:rsidP="00B763FC">
      <w:pPr>
        <w:spacing w:line="276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Protocole expérimental</w:t>
      </w:r>
    </w:p>
    <w:p w:rsidR="00B763FC" w:rsidRDefault="00B763FC" w:rsidP="00B763FC">
      <w:pPr>
        <w:numPr>
          <w:ilvl w:val="0"/>
          <w:numId w:val="2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Emulsion du β-carotène: 2 mg dissous dans 10 ml de chloroforme, puis 1 ml de cette solution est mélangé avec 0.06 g d'acide linoléique purifié et 0.2 g du Tween 40, </w:t>
      </w:r>
    </w:p>
    <w:p w:rsidR="00B763FC" w:rsidRDefault="00B763FC" w:rsidP="00B763FC">
      <w:pPr>
        <w:numPr>
          <w:ilvl w:val="0"/>
          <w:numId w:val="2"/>
        </w:numPr>
        <w:spacing w:line="276" w:lineRule="auto"/>
        <w:jc w:val="both"/>
        <w:rPr>
          <w:sz w:val="28"/>
        </w:rPr>
      </w:pPr>
      <w:r>
        <w:rPr>
          <w:sz w:val="28"/>
        </w:rPr>
        <w:t>Le chloroforme est ensuite éliminé par évaporation en utilisant un rotavapor et le résidu obtenu est récupéré par 50 ml de peroxyde d'hydrogène à 30%.</w:t>
      </w:r>
    </w:p>
    <w:p w:rsidR="00B763FC" w:rsidRDefault="00B763FC" w:rsidP="00B763FC">
      <w:pPr>
        <w:numPr>
          <w:ilvl w:val="0"/>
          <w:numId w:val="2"/>
        </w:numPr>
        <w:spacing w:line="276" w:lineRule="auto"/>
        <w:jc w:val="both"/>
        <w:rPr>
          <w:sz w:val="28"/>
        </w:rPr>
      </w:pPr>
      <w:r>
        <w:rPr>
          <w:i/>
          <w:iCs/>
          <w:sz w:val="28"/>
        </w:rPr>
        <w:t xml:space="preserve">5 </w:t>
      </w:r>
      <w:r>
        <w:rPr>
          <w:sz w:val="28"/>
        </w:rPr>
        <w:t xml:space="preserve">ml de cette émulsion sont préparés, pour lesquelles 200 µLde nos extraits méthanoliques étudiées ou d'antioxydant de référence (BHA) à la concentration de </w:t>
      </w:r>
      <w:r>
        <w:rPr>
          <w:i/>
          <w:iCs/>
          <w:sz w:val="28"/>
        </w:rPr>
        <w:t xml:space="preserve">2,5 </w:t>
      </w:r>
      <w:r>
        <w:rPr>
          <w:sz w:val="28"/>
        </w:rPr>
        <w:t xml:space="preserve">mg/ml sont ajoutés. </w:t>
      </w:r>
    </w:p>
    <w:p w:rsidR="00B763FC" w:rsidRDefault="00B763FC" w:rsidP="00B763FC">
      <w:pPr>
        <w:numPr>
          <w:ilvl w:val="0"/>
          <w:numId w:val="2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Le mélange est bien vortéxé et la lecture de l'absorbance se fait immédiatement à t0 contre un blanc (contient l'émulsion sans le β-carotène) à 470 nm. </w:t>
      </w:r>
    </w:p>
    <w:p w:rsidR="00B763FC" w:rsidRDefault="00B763FC" w:rsidP="00B763FC">
      <w:pPr>
        <w:numPr>
          <w:ilvl w:val="0"/>
          <w:numId w:val="2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Les tubes couverts sont placés dans un bain marie à </w:t>
      </w:r>
      <w:r>
        <w:rPr>
          <w:i/>
          <w:iCs/>
          <w:sz w:val="28"/>
        </w:rPr>
        <w:t xml:space="preserve">50°C </w:t>
      </w:r>
      <w:r>
        <w:rPr>
          <w:sz w:val="28"/>
        </w:rPr>
        <w:t>et la lecture de l'absorbance est faite toutes les 10 minutes durant 60 minutes.</w:t>
      </w:r>
    </w:p>
    <w:p w:rsidR="00FB7E1C" w:rsidRPr="00B763FC" w:rsidRDefault="00B763FC" w:rsidP="00B763FC">
      <w:pPr>
        <w:numPr>
          <w:ilvl w:val="0"/>
          <w:numId w:val="2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 Un contrôle négatif est réalisé en parallèle: </w:t>
      </w:r>
      <w:r>
        <w:rPr>
          <w:i/>
          <w:iCs/>
          <w:sz w:val="28"/>
        </w:rPr>
        <w:t xml:space="preserve">5 </w:t>
      </w:r>
      <w:r>
        <w:rPr>
          <w:sz w:val="28"/>
        </w:rPr>
        <w:t>ml de l'émulsion du β-carotène et 200 µl de méthanol.</w:t>
      </w:r>
    </w:p>
    <w:sectPr w:rsidR="00FB7E1C" w:rsidRPr="00B763FC" w:rsidSect="00BC7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344C"/>
    <w:multiLevelType w:val="hybridMultilevel"/>
    <w:tmpl w:val="06A40624"/>
    <w:lvl w:ilvl="0" w:tplc="FBDA80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1AFF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EE09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0620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3420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FE4E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0AC6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E6E4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3C00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67CC5"/>
    <w:multiLevelType w:val="hybridMultilevel"/>
    <w:tmpl w:val="D3C48656"/>
    <w:lvl w:ilvl="0" w:tplc="FC0E59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6C30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48CE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A669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3267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2ABA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E458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A08E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580E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B763FC"/>
    <w:rsid w:val="00B763FC"/>
    <w:rsid w:val="00BC7975"/>
    <w:rsid w:val="00FB7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3FC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Malti Nassima</dc:creator>
  <cp:keywords/>
  <dc:description/>
  <cp:lastModifiedBy>Malti Nassima</cp:lastModifiedBy>
  <cp:revision>2</cp:revision>
  <dcterms:created xsi:type="dcterms:W3CDTF">2020-03-26T21:27:00Z</dcterms:created>
  <dcterms:modified xsi:type="dcterms:W3CDTF">2020-03-26T21:27:00Z</dcterms:modified>
</cp:coreProperties>
</file>