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71" w:rsidRDefault="007A5471" w:rsidP="007A5471">
      <w:pPr>
        <w:spacing w:line="249" w:lineRule="auto"/>
        <w:jc w:val="center"/>
        <w:rPr>
          <w:rFonts w:ascii="Arial" w:eastAsia="Arial" w:hAnsi="Arial"/>
        </w:rPr>
      </w:pPr>
      <w:r>
        <w:rPr>
          <w:rFonts w:ascii="Arial" w:eastAsia="Arial" w:hAnsi="Arial"/>
        </w:rPr>
        <w:t xml:space="preserve">TD n 2 : Diversité </w:t>
      </w:r>
    </w:p>
    <w:p w:rsidR="007A5471" w:rsidRDefault="007A5471" w:rsidP="007A5471">
      <w:pPr>
        <w:spacing w:line="249" w:lineRule="auto"/>
        <w:jc w:val="both"/>
        <w:rPr>
          <w:rFonts w:ascii="Arial" w:eastAsia="Arial" w:hAnsi="Arial"/>
        </w:rPr>
      </w:pPr>
      <w:r>
        <w:rPr>
          <w:rFonts w:ascii="Arial" w:eastAsia="Arial" w:hAnsi="Arial"/>
        </w:rPr>
        <w:t xml:space="preserve">Une biologiste de la conservation est chargée de quantifier la biodiversité des amphibiens et des reptiles dans deux zones contiguës (A et B). Elle échantillonne le long d’un </w:t>
      </w:r>
      <w:proofErr w:type="spellStart"/>
      <w:r>
        <w:rPr>
          <w:rFonts w:ascii="Arial" w:eastAsia="Arial" w:hAnsi="Arial"/>
        </w:rPr>
        <w:t>transect</w:t>
      </w:r>
      <w:proofErr w:type="spellEnd"/>
      <w:r>
        <w:rPr>
          <w:rFonts w:ascii="Arial" w:eastAsia="Arial" w:hAnsi="Arial"/>
        </w:rPr>
        <w:t xml:space="preserve"> qui parcourt les deux zones en entier.</w:t>
      </w:r>
    </w:p>
    <w:p w:rsidR="007A5471" w:rsidRDefault="00865FA9" w:rsidP="007A5471">
      <w:pPr>
        <w:rPr>
          <w:rFonts w:asciiTheme="majorBidi" w:hAnsiTheme="majorBidi" w:cstheme="majorBidi"/>
          <w:color w:val="0F243E" w:themeColor="text2" w:themeShade="80"/>
          <w:sz w:val="28"/>
          <w:szCs w:val="28"/>
        </w:rPr>
      </w:pPr>
      <w:r>
        <w:rPr>
          <w:rFonts w:asciiTheme="majorBidi" w:hAnsiTheme="majorBidi" w:cstheme="majorBidi"/>
          <w:noProof/>
          <w:color w:val="0F243E" w:themeColor="text2" w:themeShade="80"/>
          <w:sz w:val="28"/>
          <w:szCs w:val="28"/>
          <w:lang w:eastAsia="fr-FR"/>
        </w:rPr>
        <w:pict>
          <v:shapetype id="_x0000_t202" coordsize="21600,21600" o:spt="202" path="m,l,21600r21600,l21600,xe">
            <v:stroke joinstyle="miter"/>
            <v:path gradientshapeok="t" o:connecttype="rect"/>
          </v:shapetype>
          <v:shape id="_x0000_s1027" type="#_x0000_t202" style="position:absolute;margin-left:316.5pt;margin-top:22.75pt;width:30pt;height:19.5pt;z-index:251662336" filled="f" stroked="f">
            <v:textbox>
              <w:txbxContent>
                <w:p w:rsidR="007A5471" w:rsidRPr="008738E7" w:rsidRDefault="007A5471" w:rsidP="007A5471">
                  <w:pPr>
                    <w:rPr>
                      <w:b/>
                      <w:bCs/>
                      <w:sz w:val="24"/>
                      <w:szCs w:val="24"/>
                    </w:rPr>
                  </w:pPr>
                  <w:r w:rsidRPr="008738E7">
                    <w:rPr>
                      <w:b/>
                      <w:bCs/>
                      <w:sz w:val="24"/>
                      <w:szCs w:val="24"/>
                    </w:rPr>
                    <w:t>B</w:t>
                  </w:r>
                </w:p>
              </w:txbxContent>
            </v:textbox>
          </v:shape>
        </w:pict>
      </w:r>
      <w:r>
        <w:rPr>
          <w:rFonts w:asciiTheme="majorBidi" w:hAnsiTheme="majorBidi" w:cstheme="majorBidi"/>
          <w:noProof/>
          <w:color w:val="0F243E" w:themeColor="text2" w:themeShade="80"/>
          <w:sz w:val="28"/>
          <w:szCs w:val="28"/>
          <w:lang w:eastAsia="fr-FR"/>
        </w:rPr>
        <w:pict>
          <v:shape id="_x0000_s1026" type="#_x0000_t202" style="position:absolute;margin-left:174pt;margin-top:28pt;width:32.25pt;height:18pt;z-index:251661312" filled="f" fillcolor="white [3212]" stroked="f" strokecolor="white [3212]">
            <v:textbox>
              <w:txbxContent>
                <w:p w:rsidR="007A5471" w:rsidRPr="008738E7" w:rsidRDefault="007A5471" w:rsidP="007A5471">
                  <w:pPr>
                    <w:rPr>
                      <w:b/>
                      <w:bCs/>
                      <w:sz w:val="24"/>
                      <w:szCs w:val="24"/>
                    </w:rPr>
                  </w:pPr>
                  <w:r w:rsidRPr="008738E7">
                    <w:rPr>
                      <w:b/>
                      <w:bCs/>
                      <w:sz w:val="24"/>
                      <w:szCs w:val="24"/>
                    </w:rPr>
                    <w:t>A</w:t>
                  </w:r>
                </w:p>
                <w:p w:rsidR="007A5471" w:rsidRDefault="007A5471" w:rsidP="007A5471"/>
              </w:txbxContent>
            </v:textbox>
          </v:shape>
        </w:pict>
      </w:r>
      <w:r w:rsidR="007A5471">
        <w:rPr>
          <w:rFonts w:asciiTheme="majorBidi" w:hAnsiTheme="majorBidi" w:cstheme="majorBidi"/>
          <w:noProof/>
          <w:color w:val="0F243E" w:themeColor="text2" w:themeShade="80"/>
          <w:sz w:val="28"/>
          <w:szCs w:val="28"/>
          <w:lang w:eastAsia="fr-FR"/>
        </w:rPr>
        <w:drawing>
          <wp:anchor distT="0" distB="0" distL="114300" distR="114300" simplePos="0" relativeHeight="251660288" behindDoc="1" locked="0" layoutInCell="1" allowOverlap="1">
            <wp:simplePos x="0" y="0"/>
            <wp:positionH relativeFrom="column">
              <wp:posOffset>1581150</wp:posOffset>
            </wp:positionH>
            <wp:positionV relativeFrom="paragraph">
              <wp:posOffset>60325</wp:posOffset>
            </wp:positionV>
            <wp:extent cx="3705225" cy="1285875"/>
            <wp:effectExtent l="1905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705225" cy="1285875"/>
                    </a:xfrm>
                    <a:prstGeom prst="rect">
                      <a:avLst/>
                    </a:prstGeom>
                    <a:noFill/>
                  </pic:spPr>
                </pic:pic>
              </a:graphicData>
            </a:graphic>
          </wp:anchor>
        </w:drawing>
      </w:r>
    </w:p>
    <w:p w:rsidR="007A5471" w:rsidRDefault="007A5471" w:rsidP="007A5471">
      <w:pPr>
        <w:rPr>
          <w:rFonts w:asciiTheme="majorBidi" w:hAnsiTheme="majorBidi" w:cstheme="majorBidi"/>
          <w:color w:val="0F243E" w:themeColor="text2" w:themeShade="80"/>
          <w:sz w:val="28"/>
          <w:szCs w:val="28"/>
        </w:rPr>
      </w:pPr>
    </w:p>
    <w:p w:rsidR="007A5471" w:rsidRDefault="007A5471" w:rsidP="007A5471">
      <w:pPr>
        <w:spacing w:line="251" w:lineRule="auto"/>
        <w:ind w:right="1080"/>
        <w:rPr>
          <w:rFonts w:ascii="Arial" w:eastAsia="Arial" w:hAnsi="Arial"/>
        </w:rPr>
      </w:pPr>
    </w:p>
    <w:p w:rsidR="007A5471" w:rsidRDefault="007A5471" w:rsidP="007A5471">
      <w:pPr>
        <w:spacing w:line="251" w:lineRule="auto"/>
        <w:ind w:right="1080"/>
        <w:rPr>
          <w:rFonts w:ascii="Arial" w:eastAsia="Arial" w:hAnsi="Arial"/>
        </w:rPr>
      </w:pPr>
    </w:p>
    <w:p w:rsidR="007A5471" w:rsidRDefault="007A5471" w:rsidP="007A5471">
      <w:pPr>
        <w:spacing w:line="251" w:lineRule="auto"/>
        <w:ind w:right="1080"/>
        <w:rPr>
          <w:rFonts w:ascii="Arial" w:eastAsia="Arial" w:hAnsi="Arial"/>
        </w:rPr>
      </w:pPr>
    </w:p>
    <w:p w:rsidR="007A5471" w:rsidRDefault="007A5471" w:rsidP="007A5471">
      <w:pPr>
        <w:spacing w:line="251" w:lineRule="auto"/>
        <w:rPr>
          <w:rFonts w:ascii="Arial" w:eastAsia="Arial" w:hAnsi="Arial"/>
        </w:rPr>
      </w:pPr>
      <w:r>
        <w:rPr>
          <w:rFonts w:ascii="Arial" w:eastAsia="Arial" w:hAnsi="Arial"/>
        </w:rPr>
        <w:t xml:space="preserve">Le long de ce </w:t>
      </w:r>
      <w:proofErr w:type="spellStart"/>
      <w:r>
        <w:rPr>
          <w:rFonts w:ascii="Arial" w:eastAsia="Arial" w:hAnsi="Arial"/>
        </w:rPr>
        <w:t>transect</w:t>
      </w:r>
      <w:proofErr w:type="spellEnd"/>
      <w:r>
        <w:rPr>
          <w:rFonts w:ascii="Arial" w:eastAsia="Arial" w:hAnsi="Arial"/>
        </w:rPr>
        <w:t>, à tous les 500 m, elle note le type d’habitat et identifie les espèces présentes dans une zone de 100 m</w:t>
      </w:r>
      <w:r>
        <w:rPr>
          <w:rFonts w:ascii="Arial" w:eastAsia="Arial" w:hAnsi="Arial"/>
          <w:sz w:val="31"/>
          <w:vertAlign w:val="superscript"/>
        </w:rPr>
        <w:t>2</w:t>
      </w:r>
      <w:r>
        <w:rPr>
          <w:rFonts w:ascii="Arial" w:eastAsia="Arial" w:hAnsi="Arial"/>
        </w:rPr>
        <w:t>. Elle obtient les résultats suivants:</w:t>
      </w:r>
    </w:p>
    <w:tbl>
      <w:tblPr>
        <w:tblW w:w="0" w:type="auto"/>
        <w:tblInd w:w="120" w:type="dxa"/>
        <w:tblLayout w:type="fixed"/>
        <w:tblCellMar>
          <w:left w:w="0" w:type="dxa"/>
          <w:right w:w="0" w:type="dxa"/>
        </w:tblCellMar>
        <w:tblLook w:val="0000"/>
      </w:tblPr>
      <w:tblGrid>
        <w:gridCol w:w="580"/>
        <w:gridCol w:w="1852"/>
        <w:gridCol w:w="1134"/>
        <w:gridCol w:w="2551"/>
      </w:tblGrid>
      <w:tr w:rsidR="007A5471" w:rsidTr="003629C9">
        <w:trPr>
          <w:trHeight w:val="230"/>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Zone</w:t>
            </w:r>
          </w:p>
        </w:tc>
        <w:tc>
          <w:tcPr>
            <w:tcW w:w="1852"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Position (km)</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Habitat</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Espèces présentes</w:t>
            </w:r>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0</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w:t>
            </w:r>
            <w:proofErr w:type="gramStart"/>
            <w:r>
              <w:rPr>
                <w:rFonts w:ascii="Arial" w:eastAsia="Arial" w:hAnsi="Arial"/>
              </w:rPr>
              <w:t>,2,3,4,5</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0.5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6,7</w:t>
            </w:r>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1</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4</w:t>
            </w:r>
            <w:proofErr w:type="gramStart"/>
            <w:r>
              <w:rPr>
                <w:rFonts w:ascii="Arial" w:eastAsia="Arial" w:hAnsi="Arial"/>
              </w:rPr>
              <w:t>,6,7,8</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1.5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2</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w:t>
            </w:r>
            <w:proofErr w:type="gramStart"/>
            <w:r>
              <w:rPr>
                <w:rFonts w:ascii="Arial" w:eastAsia="Arial" w:hAnsi="Arial"/>
              </w:rPr>
              <w:t>,2,8,9,10</w:t>
            </w:r>
            <w:proofErr w:type="gramEnd"/>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2.5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w:t>
            </w:r>
            <w:proofErr w:type="gramStart"/>
            <w:r>
              <w:rPr>
                <w:rFonts w:ascii="Arial" w:eastAsia="Arial" w:hAnsi="Arial"/>
              </w:rPr>
              <w:t>,2,8,9,10,11</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3</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,7,8,9</w:t>
            </w:r>
            <w:proofErr w:type="gramEnd"/>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3.5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8,9</w:t>
            </w:r>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4</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4</w:t>
            </w:r>
            <w:proofErr w:type="gramStart"/>
            <w:r>
              <w:rPr>
                <w:rFonts w:ascii="Arial" w:eastAsia="Arial" w:hAnsi="Arial"/>
              </w:rPr>
              <w:t>,5,6,7</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A</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4.5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,7,8,9,10,11,12</w:t>
            </w:r>
            <w:proofErr w:type="gramEnd"/>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3</w:t>
            </w:r>
            <w:proofErr w:type="gramStart"/>
            <w:r>
              <w:rPr>
                <w:rFonts w:ascii="Arial" w:eastAsia="Arial" w:hAnsi="Arial"/>
              </w:rPr>
              <w:t>,4,5</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5.5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,7,8,9</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6</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,7,8,9</w:t>
            </w:r>
            <w:proofErr w:type="gramEnd"/>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6.5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w:t>
            </w:r>
            <w:proofErr w:type="gramStart"/>
            <w:r>
              <w:rPr>
                <w:rFonts w:ascii="Arial" w:eastAsia="Arial" w:hAnsi="Arial"/>
              </w:rPr>
              <w:t>,4,5,6</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7</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10</w:t>
            </w:r>
            <w:proofErr w:type="gramStart"/>
            <w:r>
              <w:rPr>
                <w:rFonts w:ascii="Arial" w:eastAsia="Arial" w:hAnsi="Arial"/>
              </w:rPr>
              <w:t>,11,12</w:t>
            </w:r>
            <w:proofErr w:type="gramEnd"/>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7.5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10</w:t>
            </w:r>
            <w:proofErr w:type="gramStart"/>
            <w:r>
              <w:rPr>
                <w:rFonts w:ascii="Arial" w:eastAsia="Arial" w:hAnsi="Arial"/>
              </w:rPr>
              <w:t>,11,12,13</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8</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,7,8,9</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8.5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,7,8,9</w:t>
            </w:r>
            <w:proofErr w:type="gramEnd"/>
          </w:p>
        </w:tc>
      </w:tr>
      <w:tr w:rsidR="007A5471" w:rsidTr="003629C9">
        <w:trPr>
          <w:trHeight w:val="305"/>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t>B</w:t>
            </w:r>
          </w:p>
        </w:tc>
        <w:tc>
          <w:tcPr>
            <w:tcW w:w="1852" w:type="dxa"/>
            <w:shd w:val="clear" w:color="auto" w:fill="auto"/>
            <w:vAlign w:val="bottom"/>
          </w:tcPr>
          <w:p w:rsidR="007A5471" w:rsidRDefault="007A5471" w:rsidP="003629C9">
            <w:pPr>
              <w:spacing w:line="0" w:lineRule="atLeast"/>
              <w:jc w:val="center"/>
              <w:rPr>
                <w:rFonts w:ascii="Arial" w:eastAsia="Arial" w:hAnsi="Arial"/>
                <w:w w:val="89"/>
              </w:rPr>
            </w:pPr>
            <w:r>
              <w:rPr>
                <w:rFonts w:ascii="Arial" w:eastAsia="Arial" w:hAnsi="Arial"/>
                <w:w w:val="89"/>
              </w:rPr>
              <w:t>9</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Forêt</w:t>
            </w:r>
          </w:p>
        </w:tc>
        <w:tc>
          <w:tcPr>
            <w:tcW w:w="2551" w:type="dxa"/>
            <w:shd w:val="clear" w:color="auto" w:fill="auto"/>
            <w:vAlign w:val="bottom"/>
          </w:tcPr>
          <w:p w:rsidR="007A5471" w:rsidRDefault="007A5471" w:rsidP="003629C9">
            <w:pPr>
              <w:spacing w:line="0" w:lineRule="atLeast"/>
              <w:ind w:left="100"/>
              <w:rPr>
                <w:rFonts w:ascii="Arial" w:eastAsia="Arial" w:hAnsi="Arial"/>
              </w:rPr>
            </w:pPr>
            <w:r>
              <w:rPr>
                <w:rFonts w:ascii="Arial" w:eastAsia="Arial" w:hAnsi="Arial"/>
              </w:rPr>
              <w:t>6</w:t>
            </w:r>
            <w:proofErr w:type="gramStart"/>
            <w:r>
              <w:rPr>
                <w:rFonts w:ascii="Arial" w:eastAsia="Arial" w:hAnsi="Arial"/>
              </w:rPr>
              <w:t>,7,8</w:t>
            </w:r>
            <w:proofErr w:type="gramEnd"/>
          </w:p>
        </w:tc>
      </w:tr>
      <w:tr w:rsidR="007A5471" w:rsidTr="003629C9">
        <w:trPr>
          <w:trHeight w:val="302"/>
        </w:trPr>
        <w:tc>
          <w:tcPr>
            <w:tcW w:w="580" w:type="dxa"/>
            <w:shd w:val="clear" w:color="auto" w:fill="auto"/>
            <w:vAlign w:val="bottom"/>
          </w:tcPr>
          <w:p w:rsidR="007A5471" w:rsidRDefault="007A5471" w:rsidP="003629C9">
            <w:pPr>
              <w:spacing w:line="0" w:lineRule="atLeast"/>
              <w:ind w:right="20"/>
              <w:jc w:val="center"/>
              <w:rPr>
                <w:rFonts w:ascii="Arial" w:eastAsia="Arial" w:hAnsi="Arial"/>
              </w:rPr>
            </w:pPr>
            <w:r>
              <w:rPr>
                <w:rFonts w:ascii="Arial" w:eastAsia="Arial" w:hAnsi="Arial"/>
              </w:rPr>
              <w:lastRenderedPageBreak/>
              <w:t>B</w:t>
            </w:r>
          </w:p>
        </w:tc>
        <w:tc>
          <w:tcPr>
            <w:tcW w:w="1852" w:type="dxa"/>
            <w:shd w:val="clear" w:color="auto" w:fill="auto"/>
            <w:vAlign w:val="bottom"/>
          </w:tcPr>
          <w:p w:rsidR="007A5471" w:rsidRDefault="007A5471" w:rsidP="003629C9">
            <w:pPr>
              <w:spacing w:line="0" w:lineRule="atLeast"/>
              <w:jc w:val="center"/>
              <w:rPr>
                <w:rFonts w:ascii="Arial" w:eastAsia="Arial" w:hAnsi="Arial"/>
              </w:rPr>
            </w:pPr>
            <w:r>
              <w:rPr>
                <w:rFonts w:ascii="Arial" w:eastAsia="Arial" w:hAnsi="Arial"/>
              </w:rPr>
              <w:t>9.5</w:t>
            </w:r>
          </w:p>
        </w:tc>
        <w:tc>
          <w:tcPr>
            <w:tcW w:w="1134" w:type="dxa"/>
            <w:shd w:val="clear" w:color="auto" w:fill="auto"/>
            <w:vAlign w:val="bottom"/>
          </w:tcPr>
          <w:p w:rsidR="007A5471" w:rsidRDefault="007A5471" w:rsidP="003629C9">
            <w:pPr>
              <w:spacing w:line="0" w:lineRule="atLeast"/>
              <w:ind w:left="120"/>
              <w:rPr>
                <w:rFonts w:ascii="Arial" w:eastAsia="Arial" w:hAnsi="Arial"/>
              </w:rPr>
            </w:pPr>
            <w:r>
              <w:rPr>
                <w:rFonts w:ascii="Arial" w:eastAsia="Arial" w:hAnsi="Arial"/>
              </w:rPr>
              <w:t>Marais</w:t>
            </w:r>
          </w:p>
        </w:tc>
        <w:tc>
          <w:tcPr>
            <w:tcW w:w="2551" w:type="dxa"/>
            <w:shd w:val="clear" w:color="auto" w:fill="auto"/>
            <w:vAlign w:val="bottom"/>
          </w:tcPr>
          <w:p w:rsidR="007A5471" w:rsidRDefault="007A5471" w:rsidP="003629C9">
            <w:pPr>
              <w:spacing w:line="0" w:lineRule="atLeast"/>
              <w:ind w:left="160"/>
              <w:rPr>
                <w:rFonts w:ascii="Arial" w:eastAsia="Arial" w:hAnsi="Arial"/>
              </w:rPr>
            </w:pPr>
            <w:r>
              <w:rPr>
                <w:rFonts w:ascii="Arial" w:eastAsia="Arial" w:hAnsi="Arial"/>
              </w:rPr>
              <w:t>1</w:t>
            </w:r>
            <w:proofErr w:type="gramStart"/>
            <w:r>
              <w:rPr>
                <w:rFonts w:ascii="Arial" w:eastAsia="Arial" w:hAnsi="Arial"/>
              </w:rPr>
              <w:t>,2,4,6,8,11,12,13</w:t>
            </w:r>
            <w:proofErr w:type="gramEnd"/>
          </w:p>
        </w:tc>
      </w:tr>
    </w:tbl>
    <w:p w:rsidR="007A5471" w:rsidRDefault="007A5471" w:rsidP="007A5471">
      <w:pPr>
        <w:rPr>
          <w:rFonts w:ascii="Arial" w:eastAsia="Arial" w:hAnsi="Arial"/>
        </w:rPr>
      </w:pPr>
      <w:r>
        <w:rPr>
          <w:rFonts w:ascii="Arial" w:eastAsia="Arial" w:hAnsi="Arial"/>
        </w:rPr>
        <w:t>Calculez un indice numérique de diversité alpha, beta</w:t>
      </w:r>
    </w:p>
    <w:p w:rsidR="007A5471" w:rsidRDefault="007A5471" w:rsidP="007A5471">
      <w:pPr>
        <w:rPr>
          <w:rFonts w:ascii="Arial" w:eastAsia="Arial" w:hAnsi="Arial"/>
        </w:rPr>
      </w:pPr>
    </w:p>
    <w:p w:rsidR="007A5471" w:rsidRPr="00D40E40" w:rsidRDefault="007A5471" w:rsidP="007A5471">
      <w:pPr>
        <w:spacing w:after="0" w:line="0" w:lineRule="atLeast"/>
        <w:rPr>
          <w:rFonts w:asciiTheme="majorBidi" w:eastAsia="Arial" w:hAnsiTheme="majorBidi" w:cstheme="majorBidi"/>
          <w:b/>
          <w:color w:val="FF0000"/>
          <w:sz w:val="20"/>
          <w:szCs w:val="20"/>
        </w:rPr>
      </w:pPr>
      <w:r w:rsidRPr="00D40E40">
        <w:rPr>
          <w:rFonts w:asciiTheme="majorBidi" w:eastAsia="Arial" w:hAnsiTheme="majorBidi" w:cstheme="majorBidi"/>
          <w:b/>
          <w:color w:val="FF0000"/>
          <w:sz w:val="20"/>
          <w:szCs w:val="20"/>
        </w:rPr>
        <w:t>Diversité alpha.</w:t>
      </w: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Zone A-Marais</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Espèces présentes: 1</w:t>
      </w:r>
      <w:proofErr w:type="gramStart"/>
      <w:r w:rsidRPr="00D40E40">
        <w:rPr>
          <w:rFonts w:asciiTheme="majorBidi" w:eastAsia="Arial" w:hAnsiTheme="majorBidi" w:cstheme="majorBidi"/>
          <w:color w:val="FF0000"/>
          <w:sz w:val="20"/>
          <w:szCs w:val="20"/>
        </w:rPr>
        <w:t>,2,3,4,5,8,9,10,11</w:t>
      </w:r>
      <w:proofErr w:type="gramEnd"/>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 stations: 4</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proofErr w:type="spellStart"/>
      <w:r w:rsidRPr="00D40E40">
        <w:rPr>
          <w:rFonts w:asciiTheme="majorBidi" w:eastAsia="Arial" w:hAnsiTheme="majorBidi" w:cstheme="majorBidi"/>
          <w:color w:val="FF0000"/>
          <w:sz w:val="20"/>
          <w:szCs w:val="20"/>
        </w:rPr>
        <w:t>sp</w:t>
      </w:r>
      <w:proofErr w:type="spellEnd"/>
      <w:r w:rsidRPr="00D40E40">
        <w:rPr>
          <w:rFonts w:asciiTheme="majorBidi" w:eastAsia="Arial" w:hAnsiTheme="majorBidi" w:cstheme="majorBidi"/>
          <w:color w:val="FF0000"/>
          <w:sz w:val="20"/>
          <w:szCs w:val="20"/>
        </w:rPr>
        <w:t>/</w:t>
      </w:r>
      <w:proofErr w:type="spellStart"/>
      <w:r w:rsidRPr="00D40E40">
        <w:rPr>
          <w:rFonts w:asciiTheme="majorBidi" w:eastAsia="Arial" w:hAnsiTheme="majorBidi" w:cstheme="majorBidi"/>
          <w:color w:val="FF0000"/>
          <w:sz w:val="20"/>
          <w:szCs w:val="20"/>
        </w:rPr>
        <w:t>sta</w:t>
      </w:r>
      <w:proofErr w:type="spellEnd"/>
      <w:r w:rsidRPr="00D40E40">
        <w:rPr>
          <w:rFonts w:asciiTheme="majorBidi" w:eastAsia="Arial" w:hAnsiTheme="majorBidi" w:cstheme="majorBidi"/>
          <w:color w:val="FF0000"/>
          <w:sz w:val="20"/>
          <w:szCs w:val="20"/>
        </w:rPr>
        <w:t>: 9/4=2.25</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d’espèces par site: 5</w:t>
      </w:r>
      <w:proofErr w:type="gramStart"/>
      <w:r w:rsidRPr="00D40E40">
        <w:rPr>
          <w:rFonts w:asciiTheme="majorBidi" w:eastAsia="Arial" w:hAnsiTheme="majorBidi" w:cstheme="majorBidi"/>
          <w:color w:val="FF0000"/>
          <w:sz w:val="20"/>
          <w:szCs w:val="20"/>
        </w:rPr>
        <w:t>,5,6,2</w:t>
      </w:r>
      <w:proofErr w:type="gramEnd"/>
      <w:r w:rsidRPr="00D40E40">
        <w:rPr>
          <w:rFonts w:asciiTheme="majorBidi" w:eastAsia="Arial" w:hAnsiTheme="majorBidi" w:cstheme="majorBidi"/>
          <w:color w:val="FF0000"/>
          <w:sz w:val="20"/>
          <w:szCs w:val="20"/>
        </w:rPr>
        <w:t>- Moyenne:4.5</w:t>
      </w:r>
    </w:p>
    <w:p w:rsidR="007A5471" w:rsidRPr="00D40E40" w:rsidRDefault="007A5471" w:rsidP="007A5471">
      <w:pPr>
        <w:spacing w:after="0" w:line="25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Zone A-Forêt</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Espèces présentes: 4</w:t>
      </w:r>
      <w:proofErr w:type="gramStart"/>
      <w:r w:rsidRPr="00D40E40">
        <w:rPr>
          <w:rFonts w:asciiTheme="majorBidi" w:eastAsia="Arial" w:hAnsiTheme="majorBidi" w:cstheme="majorBidi"/>
          <w:color w:val="FF0000"/>
          <w:sz w:val="20"/>
          <w:szCs w:val="20"/>
        </w:rPr>
        <w:t>,5,6,7,8,9,10,11,12</w:t>
      </w:r>
      <w:proofErr w:type="gramEnd"/>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 stations: 6</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proofErr w:type="spellStart"/>
      <w:r w:rsidRPr="00D40E40">
        <w:rPr>
          <w:rFonts w:asciiTheme="majorBidi" w:eastAsia="Arial" w:hAnsiTheme="majorBidi" w:cstheme="majorBidi"/>
          <w:color w:val="FF0000"/>
          <w:sz w:val="20"/>
          <w:szCs w:val="20"/>
        </w:rPr>
        <w:t>sp</w:t>
      </w:r>
      <w:proofErr w:type="spellEnd"/>
      <w:r w:rsidRPr="00D40E40">
        <w:rPr>
          <w:rFonts w:asciiTheme="majorBidi" w:eastAsia="Arial" w:hAnsiTheme="majorBidi" w:cstheme="majorBidi"/>
          <w:color w:val="FF0000"/>
          <w:sz w:val="20"/>
          <w:szCs w:val="20"/>
        </w:rPr>
        <w:t>/</w:t>
      </w:r>
      <w:proofErr w:type="spellStart"/>
      <w:r w:rsidRPr="00D40E40">
        <w:rPr>
          <w:rFonts w:asciiTheme="majorBidi" w:eastAsia="Arial" w:hAnsiTheme="majorBidi" w:cstheme="majorBidi"/>
          <w:color w:val="FF0000"/>
          <w:sz w:val="20"/>
          <w:szCs w:val="20"/>
        </w:rPr>
        <w:t>sta</w:t>
      </w:r>
      <w:proofErr w:type="spellEnd"/>
      <w:r w:rsidRPr="00D40E40">
        <w:rPr>
          <w:rFonts w:asciiTheme="majorBidi" w:eastAsia="Arial" w:hAnsiTheme="majorBidi" w:cstheme="majorBidi"/>
          <w:color w:val="FF0000"/>
          <w:sz w:val="20"/>
          <w:szCs w:val="20"/>
        </w:rPr>
        <w:t>=9/6=1.5</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d’espèces par site: 2</w:t>
      </w:r>
      <w:proofErr w:type="gramStart"/>
      <w:r w:rsidRPr="00D40E40">
        <w:rPr>
          <w:rFonts w:asciiTheme="majorBidi" w:eastAsia="Arial" w:hAnsiTheme="majorBidi" w:cstheme="majorBidi"/>
          <w:color w:val="FF0000"/>
          <w:sz w:val="20"/>
          <w:szCs w:val="20"/>
        </w:rPr>
        <w:t>,4,3,4,4,7</w:t>
      </w:r>
      <w:proofErr w:type="gramEnd"/>
      <w:r w:rsidRPr="00D40E40">
        <w:rPr>
          <w:rFonts w:asciiTheme="majorBidi" w:eastAsia="Arial" w:hAnsiTheme="majorBidi" w:cstheme="majorBidi"/>
          <w:color w:val="FF0000"/>
          <w:sz w:val="20"/>
          <w:szCs w:val="20"/>
        </w:rPr>
        <w:t>-Moyenne=4</w:t>
      </w:r>
    </w:p>
    <w:p w:rsidR="007A5471" w:rsidRPr="00D40E40" w:rsidRDefault="007A5471" w:rsidP="007A5471">
      <w:pPr>
        <w:spacing w:after="0" w:line="25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Zone B-Marais</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Espèces présentes: 1,2,3,4,5,6,8,10,11,12,13</w:t>
      </w:r>
    </w:p>
    <w:p w:rsidR="007A5471" w:rsidRPr="00D40E40" w:rsidRDefault="007A5471" w:rsidP="007A5471">
      <w:pPr>
        <w:spacing w:after="0" w:line="12"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 stations: 5</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proofErr w:type="spellStart"/>
      <w:r w:rsidRPr="00D40E40">
        <w:rPr>
          <w:rFonts w:asciiTheme="majorBidi" w:eastAsia="Arial" w:hAnsiTheme="majorBidi" w:cstheme="majorBidi"/>
          <w:color w:val="FF0000"/>
          <w:sz w:val="20"/>
          <w:szCs w:val="20"/>
        </w:rPr>
        <w:t>sp</w:t>
      </w:r>
      <w:proofErr w:type="spellEnd"/>
      <w:r w:rsidRPr="00D40E40">
        <w:rPr>
          <w:rFonts w:asciiTheme="majorBidi" w:eastAsia="Arial" w:hAnsiTheme="majorBidi" w:cstheme="majorBidi"/>
          <w:color w:val="FF0000"/>
          <w:sz w:val="20"/>
          <w:szCs w:val="20"/>
        </w:rPr>
        <w:t>/</w:t>
      </w:r>
      <w:proofErr w:type="spellStart"/>
      <w:r w:rsidRPr="00D40E40">
        <w:rPr>
          <w:rFonts w:asciiTheme="majorBidi" w:eastAsia="Arial" w:hAnsiTheme="majorBidi" w:cstheme="majorBidi"/>
          <w:color w:val="FF0000"/>
          <w:sz w:val="20"/>
          <w:szCs w:val="20"/>
        </w:rPr>
        <w:t>sta</w:t>
      </w:r>
      <w:proofErr w:type="spellEnd"/>
      <w:r w:rsidRPr="00D40E40">
        <w:rPr>
          <w:rFonts w:asciiTheme="majorBidi" w:eastAsia="Arial" w:hAnsiTheme="majorBidi" w:cstheme="majorBidi"/>
          <w:color w:val="FF0000"/>
          <w:sz w:val="20"/>
          <w:szCs w:val="20"/>
        </w:rPr>
        <w:t>=11/5=2.2</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d’espèces par site:3</w:t>
      </w:r>
      <w:proofErr w:type="gramStart"/>
      <w:r w:rsidRPr="00D40E40">
        <w:rPr>
          <w:rFonts w:asciiTheme="majorBidi" w:eastAsia="Arial" w:hAnsiTheme="majorBidi" w:cstheme="majorBidi"/>
          <w:color w:val="FF0000"/>
          <w:sz w:val="20"/>
          <w:szCs w:val="20"/>
        </w:rPr>
        <w:t>,4,3,4,8</w:t>
      </w:r>
      <w:proofErr w:type="gramEnd"/>
      <w:r w:rsidRPr="00D40E40">
        <w:rPr>
          <w:rFonts w:asciiTheme="majorBidi" w:eastAsia="Arial" w:hAnsiTheme="majorBidi" w:cstheme="majorBidi"/>
          <w:color w:val="FF0000"/>
          <w:sz w:val="20"/>
          <w:szCs w:val="20"/>
        </w:rPr>
        <w:t>-Moyenne:4.4</w:t>
      </w:r>
    </w:p>
    <w:p w:rsidR="007A5471" w:rsidRPr="00D40E40" w:rsidRDefault="007A5471" w:rsidP="007A5471">
      <w:pPr>
        <w:spacing w:after="0" w:line="25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Zone B-Forêt</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Espèces présentes: 6</w:t>
      </w:r>
      <w:proofErr w:type="gramStart"/>
      <w:r w:rsidRPr="00D40E40">
        <w:rPr>
          <w:rFonts w:asciiTheme="majorBidi" w:eastAsia="Arial" w:hAnsiTheme="majorBidi" w:cstheme="majorBidi"/>
          <w:color w:val="FF0000"/>
          <w:sz w:val="20"/>
          <w:szCs w:val="20"/>
        </w:rPr>
        <w:t>,7,8,9</w:t>
      </w:r>
      <w:proofErr w:type="gramEnd"/>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 stations: 5</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proofErr w:type="spellStart"/>
      <w:r w:rsidRPr="00D40E40">
        <w:rPr>
          <w:rFonts w:asciiTheme="majorBidi" w:eastAsia="Arial" w:hAnsiTheme="majorBidi" w:cstheme="majorBidi"/>
          <w:color w:val="FF0000"/>
          <w:sz w:val="20"/>
          <w:szCs w:val="20"/>
        </w:rPr>
        <w:t>sp</w:t>
      </w:r>
      <w:proofErr w:type="spellEnd"/>
      <w:r w:rsidRPr="00D40E40">
        <w:rPr>
          <w:rFonts w:asciiTheme="majorBidi" w:eastAsia="Arial" w:hAnsiTheme="majorBidi" w:cstheme="majorBidi"/>
          <w:color w:val="FF0000"/>
          <w:sz w:val="20"/>
          <w:szCs w:val="20"/>
        </w:rPr>
        <w:t>/</w:t>
      </w:r>
      <w:proofErr w:type="spellStart"/>
      <w:r w:rsidRPr="00D40E40">
        <w:rPr>
          <w:rFonts w:asciiTheme="majorBidi" w:eastAsia="Arial" w:hAnsiTheme="majorBidi" w:cstheme="majorBidi"/>
          <w:color w:val="FF0000"/>
          <w:sz w:val="20"/>
          <w:szCs w:val="20"/>
        </w:rPr>
        <w:t>sta</w:t>
      </w:r>
      <w:proofErr w:type="spellEnd"/>
      <w:r w:rsidRPr="00D40E40">
        <w:rPr>
          <w:rFonts w:asciiTheme="majorBidi" w:eastAsia="Arial" w:hAnsiTheme="majorBidi" w:cstheme="majorBidi"/>
          <w:color w:val="FF0000"/>
          <w:sz w:val="20"/>
          <w:szCs w:val="20"/>
        </w:rPr>
        <w:t>=4/5=0.8</w:t>
      </w:r>
    </w:p>
    <w:p w:rsidR="007A5471" w:rsidRPr="00D40E40" w:rsidRDefault="007A5471" w:rsidP="007A5471">
      <w:pPr>
        <w:spacing w:after="0" w:line="10"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Nombre d’espèces par site: 4</w:t>
      </w:r>
      <w:proofErr w:type="gramStart"/>
      <w:r w:rsidRPr="00D40E40">
        <w:rPr>
          <w:rFonts w:asciiTheme="majorBidi" w:eastAsia="Arial" w:hAnsiTheme="majorBidi" w:cstheme="majorBidi"/>
          <w:color w:val="FF0000"/>
          <w:sz w:val="20"/>
          <w:szCs w:val="20"/>
        </w:rPr>
        <w:t>,4,4,4,3</w:t>
      </w:r>
      <w:proofErr w:type="gramEnd"/>
      <w:r w:rsidRPr="00D40E40">
        <w:rPr>
          <w:rFonts w:asciiTheme="majorBidi" w:eastAsia="Arial" w:hAnsiTheme="majorBidi" w:cstheme="majorBidi"/>
          <w:color w:val="FF0000"/>
          <w:sz w:val="20"/>
          <w:szCs w:val="20"/>
        </w:rPr>
        <w:t>-Moyenne=3.8</w:t>
      </w:r>
    </w:p>
    <w:p w:rsidR="007A5471" w:rsidRPr="00D40E40" w:rsidRDefault="007A5471" w:rsidP="007A5471">
      <w:pPr>
        <w:spacing w:after="0" w:line="245" w:lineRule="exact"/>
        <w:rPr>
          <w:rFonts w:asciiTheme="majorBidi" w:eastAsia="Times New Roman" w:hAnsiTheme="majorBidi" w:cstheme="majorBidi"/>
          <w:sz w:val="20"/>
          <w:szCs w:val="20"/>
        </w:rPr>
      </w:pPr>
    </w:p>
    <w:p w:rsidR="007A5471" w:rsidRPr="00D40E40" w:rsidRDefault="007A5471" w:rsidP="007A5471">
      <w:pPr>
        <w:spacing w:after="0" w:line="0" w:lineRule="atLeast"/>
        <w:rPr>
          <w:rFonts w:asciiTheme="majorBidi" w:eastAsia="Arial" w:hAnsiTheme="majorBidi" w:cstheme="majorBidi"/>
          <w:b/>
          <w:color w:val="FF0000"/>
          <w:sz w:val="20"/>
          <w:szCs w:val="20"/>
        </w:rPr>
      </w:pPr>
      <w:r w:rsidRPr="00D40E40">
        <w:rPr>
          <w:rFonts w:asciiTheme="majorBidi" w:eastAsia="Arial" w:hAnsiTheme="majorBidi" w:cstheme="majorBidi"/>
          <w:b/>
          <w:color w:val="FF0000"/>
          <w:sz w:val="20"/>
          <w:szCs w:val="20"/>
        </w:rPr>
        <w:t>Diversité beta</w:t>
      </w:r>
    </w:p>
    <w:p w:rsidR="007A5471" w:rsidRPr="00D40E40" w:rsidRDefault="007A5471" w:rsidP="007A5471">
      <w:pPr>
        <w:spacing w:after="0" w:line="250" w:lineRule="exact"/>
        <w:rPr>
          <w:rFonts w:asciiTheme="majorBidi" w:eastAsia="Times New Roman" w:hAnsiTheme="majorBidi" w:cstheme="majorBidi"/>
          <w:sz w:val="20"/>
          <w:szCs w:val="20"/>
        </w:rPr>
      </w:pPr>
    </w:p>
    <w:p w:rsidR="007A5471" w:rsidRPr="00D40E40" w:rsidRDefault="007A5471" w:rsidP="007A5471">
      <w:pPr>
        <w:spacing w:line="252" w:lineRule="auto"/>
        <w:ind w:right="1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 xml:space="preserve">La diversité beta correspond au </w:t>
      </w:r>
      <w:r w:rsidRPr="00D40E40">
        <w:rPr>
          <w:rFonts w:asciiTheme="majorBidi" w:eastAsia="Arial" w:hAnsiTheme="majorBidi" w:cstheme="majorBidi"/>
          <w:b/>
          <w:color w:val="FF0000"/>
          <w:sz w:val="20"/>
          <w:szCs w:val="20"/>
        </w:rPr>
        <w:t>taux de remplacement</w:t>
      </w:r>
      <w:r w:rsidRPr="00D40E40">
        <w:rPr>
          <w:rFonts w:asciiTheme="majorBidi" w:eastAsia="Arial" w:hAnsiTheme="majorBidi" w:cstheme="majorBidi"/>
          <w:color w:val="FF0000"/>
          <w:sz w:val="20"/>
          <w:szCs w:val="20"/>
        </w:rPr>
        <w:t xml:space="preserve"> </w:t>
      </w:r>
      <w:proofErr w:type="gramStart"/>
      <w:r w:rsidRPr="00D40E40">
        <w:rPr>
          <w:rFonts w:asciiTheme="majorBidi" w:eastAsia="Arial" w:hAnsiTheme="majorBidi" w:cstheme="majorBidi"/>
          <w:color w:val="FF0000"/>
          <w:sz w:val="20"/>
          <w:szCs w:val="20"/>
        </w:rPr>
        <w:t>des espèce</w:t>
      </w:r>
      <w:proofErr w:type="gramEnd"/>
      <w:r w:rsidRPr="00D40E40">
        <w:rPr>
          <w:rFonts w:asciiTheme="majorBidi" w:eastAsia="Arial" w:hAnsiTheme="majorBidi" w:cstheme="majorBidi"/>
          <w:color w:val="FF0000"/>
          <w:sz w:val="20"/>
          <w:szCs w:val="20"/>
        </w:rPr>
        <w:t xml:space="preserve"> dans une zone géographique donnée. Ce taux de remplacement peut être calculé </w:t>
      </w:r>
      <w:r w:rsidRPr="00D40E40">
        <w:rPr>
          <w:rFonts w:asciiTheme="majorBidi" w:eastAsia="Arial" w:hAnsiTheme="majorBidi" w:cstheme="majorBidi"/>
          <w:b/>
          <w:color w:val="FF0000"/>
          <w:sz w:val="20"/>
          <w:szCs w:val="20"/>
        </w:rPr>
        <w:t>a) arbitrairement</w:t>
      </w:r>
      <w:r w:rsidRPr="00D40E40">
        <w:rPr>
          <w:rFonts w:asciiTheme="majorBidi" w:eastAsia="Arial" w:hAnsiTheme="majorBidi" w:cstheme="majorBidi"/>
          <w:color w:val="FF0000"/>
          <w:sz w:val="20"/>
          <w:szCs w:val="20"/>
        </w:rPr>
        <w:t xml:space="preserve"> à partir de la composition à un point donné (comme dans </w:t>
      </w:r>
      <w:proofErr w:type="gramStart"/>
      <w:r w:rsidRPr="00D40E40">
        <w:rPr>
          <w:rFonts w:asciiTheme="majorBidi" w:eastAsia="Arial" w:hAnsiTheme="majorBidi" w:cstheme="majorBidi"/>
          <w:color w:val="FF0000"/>
          <w:sz w:val="20"/>
          <w:szCs w:val="20"/>
        </w:rPr>
        <w:t>les exemple</w:t>
      </w:r>
      <w:proofErr w:type="gramEnd"/>
      <w:r w:rsidRPr="00D40E40">
        <w:rPr>
          <w:rFonts w:asciiTheme="majorBidi" w:eastAsia="Arial" w:hAnsiTheme="majorBidi" w:cstheme="majorBidi"/>
          <w:color w:val="FF0000"/>
          <w:sz w:val="20"/>
          <w:szCs w:val="20"/>
        </w:rPr>
        <w:t xml:space="preserve"> donnés en classe), </w:t>
      </w:r>
      <w:proofErr w:type="spellStart"/>
      <w:r w:rsidRPr="00D40E40">
        <w:rPr>
          <w:rFonts w:asciiTheme="majorBidi" w:eastAsia="Arial" w:hAnsiTheme="majorBidi" w:cstheme="majorBidi"/>
          <w:color w:val="FF0000"/>
          <w:sz w:val="20"/>
          <w:szCs w:val="20"/>
        </w:rPr>
        <w:t>ou</w:t>
      </w:r>
      <w:r w:rsidRPr="00D40E40">
        <w:rPr>
          <w:rFonts w:asciiTheme="majorBidi" w:eastAsia="Arial" w:hAnsiTheme="majorBidi" w:cstheme="majorBidi"/>
          <w:b/>
          <w:color w:val="FF0000"/>
          <w:sz w:val="20"/>
          <w:szCs w:val="20"/>
        </w:rPr>
        <w:t>b</w:t>
      </w:r>
      <w:proofErr w:type="spellEnd"/>
      <w:r w:rsidRPr="00D40E40">
        <w:rPr>
          <w:rFonts w:asciiTheme="majorBidi" w:eastAsia="Arial" w:hAnsiTheme="majorBidi" w:cstheme="majorBidi"/>
          <w:b/>
          <w:color w:val="FF0000"/>
          <w:sz w:val="20"/>
          <w:szCs w:val="20"/>
        </w:rPr>
        <w:t xml:space="preserve">) en décrivant la </w:t>
      </w:r>
      <w:proofErr w:type="spellStart"/>
      <w:r w:rsidRPr="00D40E40">
        <w:rPr>
          <w:rFonts w:asciiTheme="majorBidi" w:eastAsia="Arial" w:hAnsiTheme="majorBidi" w:cstheme="majorBidi"/>
          <w:b/>
          <w:color w:val="FF0000"/>
          <w:sz w:val="20"/>
          <w:szCs w:val="20"/>
        </w:rPr>
        <w:t>distribution</w:t>
      </w:r>
      <w:r w:rsidRPr="00D40E40">
        <w:rPr>
          <w:rFonts w:asciiTheme="majorBidi" w:eastAsia="Arial" w:hAnsiTheme="majorBidi" w:cstheme="majorBidi"/>
          <w:color w:val="FF0000"/>
          <w:sz w:val="20"/>
          <w:szCs w:val="20"/>
        </w:rPr>
        <w:t>des</w:t>
      </w:r>
      <w:proofErr w:type="spellEnd"/>
      <w:r w:rsidRPr="00D40E40">
        <w:rPr>
          <w:rFonts w:asciiTheme="majorBidi" w:eastAsia="Arial" w:hAnsiTheme="majorBidi" w:cstheme="majorBidi"/>
          <w:color w:val="FF0000"/>
          <w:sz w:val="20"/>
          <w:szCs w:val="20"/>
        </w:rPr>
        <w:t xml:space="preserve"> espèces dans chaque zone</w:t>
      </w:r>
    </w:p>
    <w:p w:rsidR="007A5471" w:rsidRPr="00D40E40" w:rsidRDefault="007A5471" w:rsidP="007A5471">
      <w:pPr>
        <w:spacing w:line="250" w:lineRule="auto"/>
        <w:ind w:right="108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Selon la première approche, en partant de la position 0 dans la Zone A, il y a 100% de remplacement dès que l’on passe à la seconde position. Si on commence par l’autre bout, il y a 5/7 des espèces qui “disparaissent” et sont remplacées entre la position 4.5 et 4 (71%). Dans la zone B, en partant de chaque bout et en se déplaçant de 500m on obtient similairement 100% et 87.5%. D’autres chiffres pourraient être obtenus en partant du milieu de chaque zone. Bref, l’indice obtenu est “arbitraire” et dépends du mode de calcul. Il semble donc préférable de procéder autrement en examinant comment les espèces sont distribuées dans les différents sites dans chaque zone.</w:t>
      </w:r>
    </w:p>
    <w:p w:rsidR="007A5471" w:rsidRPr="00D40E40" w:rsidRDefault="007A5471" w:rsidP="007A5471">
      <w:pPr>
        <w:spacing w:line="249" w:lineRule="auto"/>
        <w:ind w:right="116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Pour cette deuxième approche, on peut par exemple dénombrer, pour chaque espèce retrouvée dans la zone A, dans quelle proportion des sites elle est retrouvée:</w:t>
      </w:r>
    </w:p>
    <w:tbl>
      <w:tblPr>
        <w:tblW w:w="0" w:type="auto"/>
        <w:tblLayout w:type="fixed"/>
        <w:tblCellMar>
          <w:left w:w="0" w:type="dxa"/>
          <w:right w:w="0" w:type="dxa"/>
        </w:tblCellMar>
        <w:tblLook w:val="0000"/>
      </w:tblPr>
      <w:tblGrid>
        <w:gridCol w:w="20"/>
        <w:gridCol w:w="900"/>
        <w:gridCol w:w="20"/>
        <w:gridCol w:w="2860"/>
        <w:gridCol w:w="20"/>
        <w:gridCol w:w="2860"/>
        <w:gridCol w:w="20"/>
      </w:tblGrid>
      <w:tr w:rsidR="007A5471" w:rsidRPr="00D40E40" w:rsidTr="003629C9">
        <w:trPr>
          <w:trHeight w:val="232"/>
        </w:trPr>
        <w:tc>
          <w:tcPr>
            <w:tcW w:w="20" w:type="dxa"/>
            <w:tcBorders>
              <w:top w:val="single" w:sz="8" w:space="0" w:color="auto"/>
            </w:tcBorders>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900" w:type="dxa"/>
            <w:tcBorders>
              <w:top w:val="single" w:sz="8" w:space="0" w:color="auto"/>
            </w:tcBorders>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Espèce</w:t>
            </w:r>
          </w:p>
        </w:tc>
        <w:tc>
          <w:tcPr>
            <w:tcW w:w="20" w:type="dxa"/>
            <w:tcBorders>
              <w:top w:val="single" w:sz="8" w:space="0" w:color="auto"/>
            </w:tcBorders>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tcBorders>
              <w:top w:val="single" w:sz="8" w:space="0" w:color="auto"/>
            </w:tcBorders>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 des sites de la Zone A où</w:t>
            </w:r>
          </w:p>
        </w:tc>
        <w:tc>
          <w:tcPr>
            <w:tcW w:w="20" w:type="dxa"/>
            <w:tcBorders>
              <w:top w:val="single" w:sz="8" w:space="0" w:color="auto"/>
            </w:tcBorders>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tcBorders>
              <w:top w:val="single" w:sz="8" w:space="0" w:color="auto"/>
            </w:tcBorders>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 des sites de la Zone B où</w:t>
            </w:r>
          </w:p>
        </w:tc>
        <w:tc>
          <w:tcPr>
            <w:tcW w:w="20" w:type="dxa"/>
            <w:tcBorders>
              <w:top w:val="single" w:sz="8" w:space="0" w:color="auto"/>
            </w:tcBorders>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29"/>
        </w:trPr>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90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elle est retrouvée</w:t>
            </w:r>
          </w:p>
        </w:tc>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elle est retrouvée</w:t>
            </w:r>
          </w:p>
        </w:tc>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64"/>
        </w:trPr>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900" w:type="dxa"/>
            <w:vMerge w:val="restart"/>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1</w:t>
            </w:r>
          </w:p>
        </w:tc>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vMerge w:val="restart"/>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30</w:t>
            </w:r>
          </w:p>
        </w:tc>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vMerge w:val="restart"/>
            <w:shd w:val="clear" w:color="auto" w:fill="auto"/>
            <w:vAlign w:val="bottom"/>
          </w:tcPr>
          <w:p w:rsidR="007A5471" w:rsidRPr="00D40E40" w:rsidRDefault="007A5471" w:rsidP="003629C9">
            <w:pPr>
              <w:spacing w:line="0" w:lineRule="atLeast"/>
              <w:ind w:left="10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20</w:t>
            </w:r>
          </w:p>
        </w:tc>
        <w:tc>
          <w:tcPr>
            <w:tcW w:w="20" w:type="dxa"/>
            <w:shd w:val="clear" w:color="auto" w:fill="000000"/>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17"/>
        </w:trPr>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900" w:type="dxa"/>
            <w:vMerge/>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vMerge/>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860" w:type="dxa"/>
            <w:vMerge/>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81"/>
        </w:trPr>
        <w:tc>
          <w:tcPr>
            <w:tcW w:w="92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2</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30</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10</w:t>
            </w: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78"/>
        </w:trPr>
        <w:tc>
          <w:tcPr>
            <w:tcW w:w="92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lastRenderedPageBreak/>
              <w:t>3</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10</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10</w:t>
            </w: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81"/>
        </w:trPr>
        <w:tc>
          <w:tcPr>
            <w:tcW w:w="92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4</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30</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20</w:t>
            </w: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81"/>
        </w:trPr>
        <w:tc>
          <w:tcPr>
            <w:tcW w:w="92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5</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20</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10</w:t>
            </w: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78"/>
        </w:trPr>
        <w:tc>
          <w:tcPr>
            <w:tcW w:w="92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6</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60</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60</w:t>
            </w: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r w:rsidR="007A5471" w:rsidRPr="00D40E40" w:rsidTr="003629C9">
        <w:trPr>
          <w:trHeight w:val="281"/>
        </w:trPr>
        <w:tc>
          <w:tcPr>
            <w:tcW w:w="92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7</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60</w:t>
            </w:r>
          </w:p>
        </w:tc>
        <w:tc>
          <w:tcPr>
            <w:tcW w:w="2880" w:type="dxa"/>
            <w:gridSpan w:val="2"/>
            <w:shd w:val="clear" w:color="auto" w:fill="auto"/>
            <w:vAlign w:val="bottom"/>
          </w:tcPr>
          <w:p w:rsidR="007A5471" w:rsidRPr="00D40E40" w:rsidRDefault="007A5471" w:rsidP="003629C9">
            <w:pPr>
              <w:spacing w:line="0" w:lineRule="atLeast"/>
              <w:ind w:left="120"/>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50</w:t>
            </w:r>
          </w:p>
        </w:tc>
        <w:tc>
          <w:tcPr>
            <w:tcW w:w="20" w:type="dxa"/>
            <w:shd w:val="clear" w:color="auto" w:fill="auto"/>
            <w:vAlign w:val="bottom"/>
          </w:tcPr>
          <w:p w:rsidR="007A5471" w:rsidRPr="00D40E40" w:rsidRDefault="007A5471" w:rsidP="003629C9">
            <w:pPr>
              <w:spacing w:line="0" w:lineRule="atLeast"/>
              <w:rPr>
                <w:rFonts w:asciiTheme="majorBidi" w:eastAsia="Times New Roman" w:hAnsiTheme="majorBidi" w:cstheme="majorBidi"/>
                <w:sz w:val="20"/>
                <w:szCs w:val="20"/>
              </w:rPr>
            </w:pPr>
          </w:p>
        </w:tc>
      </w:tr>
    </w:tbl>
    <w:p w:rsidR="007A5471" w:rsidRPr="00D40E40" w:rsidRDefault="007A5471" w:rsidP="007A5471">
      <w:pPr>
        <w:spacing w:line="253" w:lineRule="auto"/>
        <w:ind w:right="1100"/>
        <w:jc w:val="both"/>
        <w:rPr>
          <w:rFonts w:asciiTheme="majorBidi" w:eastAsia="Arial" w:hAnsiTheme="majorBidi" w:cstheme="majorBidi"/>
          <w:color w:val="FF0000"/>
          <w:sz w:val="20"/>
          <w:szCs w:val="20"/>
        </w:rPr>
      </w:pPr>
      <w:r w:rsidRPr="00D40E40">
        <w:rPr>
          <w:rFonts w:asciiTheme="majorBidi" w:eastAsia="Arial" w:hAnsiTheme="majorBidi" w:cstheme="majorBidi"/>
          <w:color w:val="FF0000"/>
          <w:sz w:val="20"/>
          <w:szCs w:val="20"/>
        </w:rPr>
        <w:t xml:space="preserve">La diversité alpha correspond au nombre d’espèces coexistant dans </w:t>
      </w:r>
      <w:proofErr w:type="spellStart"/>
      <w:r w:rsidRPr="00D40E40">
        <w:rPr>
          <w:rFonts w:asciiTheme="majorBidi" w:eastAsia="Arial" w:hAnsiTheme="majorBidi" w:cstheme="majorBidi"/>
          <w:color w:val="FF0000"/>
          <w:sz w:val="20"/>
          <w:szCs w:val="20"/>
        </w:rPr>
        <w:t>un</w:t>
      </w:r>
      <w:r w:rsidRPr="00D40E40">
        <w:rPr>
          <w:rFonts w:asciiTheme="majorBidi" w:eastAsia="Arial" w:hAnsiTheme="majorBidi" w:cstheme="majorBidi"/>
          <w:b/>
          <w:color w:val="FF0000"/>
          <w:sz w:val="20"/>
          <w:szCs w:val="20"/>
        </w:rPr>
        <w:t>habitat</w:t>
      </w:r>
      <w:proofErr w:type="spellEnd"/>
      <w:r w:rsidRPr="00D40E40">
        <w:rPr>
          <w:rFonts w:asciiTheme="majorBidi" w:eastAsia="Arial" w:hAnsiTheme="majorBidi" w:cstheme="majorBidi"/>
          <w:b/>
          <w:color w:val="FF0000"/>
          <w:sz w:val="20"/>
          <w:szCs w:val="20"/>
        </w:rPr>
        <w:t xml:space="preserve"> uniforme</w:t>
      </w:r>
      <w:r w:rsidRPr="00D40E40">
        <w:rPr>
          <w:rFonts w:asciiTheme="majorBidi" w:eastAsia="Arial" w:hAnsiTheme="majorBidi" w:cstheme="majorBidi"/>
          <w:color w:val="FF0000"/>
          <w:sz w:val="20"/>
          <w:szCs w:val="20"/>
        </w:rPr>
        <w:t xml:space="preserve"> de taille fixe. On doit donc calculer séparément la diversité alpha pour l’habitat forêt et l’habitat marais, et tenir compte de la surface totale échantillonnée.</w:t>
      </w:r>
    </w:p>
    <w:p w:rsidR="00661B22" w:rsidRDefault="00661B22"/>
    <w:sectPr w:rsidR="00661B22" w:rsidSect="00661B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A5471"/>
    <w:rsid w:val="0017593C"/>
    <w:rsid w:val="004B1C2B"/>
    <w:rsid w:val="00661B22"/>
    <w:rsid w:val="007A5471"/>
    <w:rsid w:val="00865F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2651</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INFOPLUS</cp:lastModifiedBy>
  <cp:revision>2</cp:revision>
  <dcterms:created xsi:type="dcterms:W3CDTF">2020-03-26T23:12:00Z</dcterms:created>
  <dcterms:modified xsi:type="dcterms:W3CDTF">2020-03-26T23:12:00Z</dcterms:modified>
</cp:coreProperties>
</file>