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C82" w:rsidRDefault="00155C82" w:rsidP="00155C82">
      <w:pPr>
        <w:bidi/>
        <w:spacing w:after="240"/>
        <w:ind w:firstLine="565"/>
        <w:jc w:val="both"/>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جامعة أبي بكر بلقايد</w:t>
      </w:r>
    </w:p>
    <w:p w:rsidR="00155C82" w:rsidRDefault="00155C82" w:rsidP="00155C82">
      <w:pPr>
        <w:bidi/>
        <w:spacing w:after="240"/>
        <w:ind w:firstLine="565"/>
        <w:jc w:val="both"/>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 xml:space="preserve"> كلية العلوم الإنسانية والعلوم الاجتماعية</w:t>
      </w:r>
    </w:p>
    <w:p w:rsidR="00155C82" w:rsidRDefault="00155C82" w:rsidP="00155C82">
      <w:pPr>
        <w:bidi/>
        <w:spacing w:after="240"/>
        <w:ind w:firstLine="565"/>
        <w:jc w:val="both"/>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 xml:space="preserve">قسم العلوم الاجتماعي </w:t>
      </w:r>
    </w:p>
    <w:p w:rsidR="00155C82" w:rsidRDefault="00155C82" w:rsidP="00155C82">
      <w:pPr>
        <w:bidi/>
        <w:spacing w:after="240"/>
        <w:ind w:firstLine="565"/>
        <w:jc w:val="both"/>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شعبة الأنترووبولوجيا</w:t>
      </w:r>
    </w:p>
    <w:p w:rsidR="00155C82" w:rsidRDefault="00155C82" w:rsidP="00155C82">
      <w:pPr>
        <w:bidi/>
        <w:spacing w:after="240"/>
        <w:ind w:firstLine="565"/>
        <w:jc w:val="both"/>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 xml:space="preserve">مقياس : النظريات الانتروبولوجية المعاصرة </w:t>
      </w:r>
    </w:p>
    <w:p w:rsidR="00155C82" w:rsidRDefault="00155C82" w:rsidP="00155C82">
      <w:pPr>
        <w:bidi/>
        <w:spacing w:after="240"/>
        <w:ind w:firstLine="565"/>
        <w:jc w:val="both"/>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المستوى: ماستر 1</w:t>
      </w:r>
    </w:p>
    <w:p w:rsidR="00155C82" w:rsidRDefault="00155C82" w:rsidP="00155C82">
      <w:pPr>
        <w:bidi/>
        <w:spacing w:after="240"/>
        <w:ind w:firstLine="565"/>
        <w:jc w:val="both"/>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الأستاذ: بن معمر عبدالله</w:t>
      </w:r>
    </w:p>
    <w:p w:rsidR="00155C82" w:rsidRDefault="00155C82" w:rsidP="00155C82">
      <w:pPr>
        <w:bidi/>
        <w:spacing w:after="0"/>
        <w:jc w:val="both"/>
        <w:rPr>
          <w:rFonts w:cs="Traditional Arabic" w:hint="cs"/>
          <w:b/>
          <w:bCs/>
          <w:sz w:val="36"/>
          <w:szCs w:val="36"/>
          <w:rtl/>
          <w:lang w:bidi="ar-DZ"/>
        </w:rPr>
      </w:pPr>
    </w:p>
    <w:p w:rsidR="00155C82" w:rsidRDefault="00155C82" w:rsidP="00155C82">
      <w:pPr>
        <w:bidi/>
        <w:spacing w:after="0"/>
        <w:jc w:val="both"/>
        <w:rPr>
          <w:rFonts w:cs="Traditional Arabic" w:hint="cs"/>
          <w:b/>
          <w:bCs/>
          <w:sz w:val="36"/>
          <w:szCs w:val="36"/>
          <w:rtl/>
          <w:lang w:bidi="ar-DZ"/>
        </w:rPr>
      </w:pPr>
    </w:p>
    <w:p w:rsidR="00155C82" w:rsidRDefault="00155C82" w:rsidP="00155C82">
      <w:pPr>
        <w:bidi/>
        <w:spacing w:after="0"/>
        <w:jc w:val="both"/>
        <w:rPr>
          <w:rFonts w:cs="Traditional Arabic"/>
          <w:b/>
          <w:bCs/>
          <w:sz w:val="36"/>
          <w:szCs w:val="36"/>
          <w:rtl/>
          <w:lang w:bidi="ar-DZ"/>
        </w:rPr>
      </w:pPr>
      <w:r>
        <w:rPr>
          <w:rFonts w:cs="Traditional Arabic" w:hint="cs"/>
          <w:b/>
          <w:bCs/>
          <w:sz w:val="36"/>
          <w:szCs w:val="36"/>
          <w:rtl/>
          <w:lang w:bidi="ar-DZ"/>
        </w:rPr>
        <w:t>المدرسة التأويلية الرمزية:</w:t>
      </w:r>
    </w:p>
    <w:p w:rsidR="00155C82" w:rsidRDefault="00155C82" w:rsidP="00155C82">
      <w:pPr>
        <w:bidi/>
        <w:spacing w:after="0"/>
        <w:jc w:val="both"/>
        <w:rPr>
          <w:rFonts w:cs="Traditional Arabic"/>
          <w:sz w:val="36"/>
          <w:szCs w:val="36"/>
          <w:rtl/>
          <w:lang w:bidi="ar-DZ"/>
        </w:rPr>
      </w:pPr>
      <w:r>
        <w:rPr>
          <w:rFonts w:cs="Traditional Arabic" w:hint="cs"/>
          <w:b/>
          <w:bCs/>
          <w:sz w:val="36"/>
          <w:szCs w:val="36"/>
          <w:rtl/>
          <w:lang w:bidi="ar-DZ"/>
        </w:rPr>
        <w:tab/>
      </w:r>
      <w:r>
        <w:rPr>
          <w:rFonts w:cs="Traditional Arabic" w:hint="cs"/>
          <w:sz w:val="36"/>
          <w:szCs w:val="36"/>
          <w:rtl/>
          <w:lang w:bidi="ar-DZ"/>
        </w:rPr>
        <w:t xml:space="preserve">طرحت التأويلية الزمزية مع ممثلها كليفورد جيرتز </w:t>
      </w:r>
      <w:r w:rsidRPr="00524DDB">
        <w:rPr>
          <w:rFonts w:cs="Traditional Arabic"/>
          <w:sz w:val="28"/>
          <w:szCs w:val="28"/>
          <w:lang w:bidi="ar-DZ"/>
        </w:rPr>
        <w:t>Clifford Geertz</w:t>
      </w:r>
      <w:r w:rsidRPr="00524DDB">
        <w:rPr>
          <w:rFonts w:cs="Traditional Arabic" w:hint="cs"/>
          <w:sz w:val="28"/>
          <w:szCs w:val="28"/>
          <w:rtl/>
          <w:lang w:bidi="ar-DZ"/>
        </w:rPr>
        <w:t xml:space="preserve"> </w:t>
      </w:r>
      <w:r>
        <w:rPr>
          <w:rFonts w:cs="Traditional Arabic" w:hint="cs"/>
          <w:sz w:val="36"/>
          <w:szCs w:val="36"/>
          <w:rtl/>
          <w:lang w:bidi="ar-DZ"/>
        </w:rPr>
        <w:t xml:space="preserve">( </w:t>
      </w:r>
      <w:r w:rsidRPr="00524DDB">
        <w:rPr>
          <w:rFonts w:cs="Traditional Arabic" w:hint="cs"/>
          <w:sz w:val="28"/>
          <w:szCs w:val="28"/>
          <w:rtl/>
          <w:lang w:bidi="ar-DZ"/>
        </w:rPr>
        <w:t>1926- 2006)</w:t>
      </w:r>
      <w:r>
        <w:rPr>
          <w:rFonts w:cs="Traditional Arabic" w:hint="cs"/>
          <w:sz w:val="36"/>
          <w:szCs w:val="36"/>
          <w:rtl/>
          <w:lang w:bidi="ar-DZ"/>
        </w:rPr>
        <w:t>م نفسها كرد معارض للتوجه البنيوي الشكلي الصوري في دراسة الرموز.</w:t>
      </w:r>
    </w:p>
    <w:p w:rsidR="00155C82" w:rsidRDefault="00155C82" w:rsidP="00155C82">
      <w:pPr>
        <w:bidi/>
        <w:spacing w:after="0"/>
        <w:jc w:val="both"/>
        <w:rPr>
          <w:rFonts w:cs="Traditional Arabic"/>
          <w:sz w:val="36"/>
          <w:szCs w:val="36"/>
          <w:rtl/>
          <w:lang w:bidi="ar-DZ"/>
        </w:rPr>
      </w:pPr>
      <w:r>
        <w:rPr>
          <w:rFonts w:cs="Traditional Arabic" w:hint="cs"/>
          <w:sz w:val="36"/>
          <w:szCs w:val="36"/>
          <w:rtl/>
          <w:lang w:bidi="ar-DZ"/>
        </w:rPr>
        <w:tab/>
        <w:t xml:space="preserve">وجيرتز من أبرز علماء الأنتروبولوجيا الأمريكيين وأبعدهم تأثيرًا خلال العقود الأخيرة من القرن العشرين (20). فهو مؤسس المدرسة التأويلية في الأنتروبولوجيا ومن أكبر الدعاة لإيلاء الأهمية لدراسة الرموز في الثقافة وللفكرة القائلة بأن هذه الرموز تضفي معنى ونظاما على حياة الناس. في خلال الحرب العالمية الثانية خدم جيرتز في البحرية الأمريكية ( </w:t>
      </w:r>
      <w:r w:rsidRPr="00524DDB">
        <w:rPr>
          <w:rFonts w:cs="Traditional Arabic" w:hint="cs"/>
          <w:sz w:val="28"/>
          <w:szCs w:val="28"/>
          <w:rtl/>
          <w:lang w:bidi="ar-DZ"/>
        </w:rPr>
        <w:t>1943</w:t>
      </w:r>
      <w:r>
        <w:rPr>
          <w:rFonts w:cs="Traditional Arabic" w:hint="cs"/>
          <w:sz w:val="36"/>
          <w:szCs w:val="36"/>
          <w:rtl/>
          <w:lang w:bidi="ar-DZ"/>
        </w:rPr>
        <w:t xml:space="preserve">- </w:t>
      </w:r>
      <w:r w:rsidRPr="00524DDB">
        <w:rPr>
          <w:rFonts w:cs="Traditional Arabic" w:hint="cs"/>
          <w:sz w:val="28"/>
          <w:szCs w:val="28"/>
          <w:rtl/>
          <w:lang w:bidi="ar-DZ"/>
        </w:rPr>
        <w:t>1945</w:t>
      </w:r>
      <w:r>
        <w:rPr>
          <w:rFonts w:cs="Traditional Arabic" w:hint="cs"/>
          <w:sz w:val="36"/>
          <w:szCs w:val="36"/>
          <w:rtl/>
          <w:lang w:bidi="ar-DZ"/>
        </w:rPr>
        <w:t xml:space="preserve">) ثم التحق بجامعة أنتيوك في أهايو حيث درس اللغة الانجليزية وحصل على الإجازة في </w:t>
      </w:r>
      <w:r w:rsidRPr="00524DDB">
        <w:rPr>
          <w:rFonts w:cs="Traditional Arabic" w:hint="cs"/>
          <w:sz w:val="28"/>
          <w:szCs w:val="28"/>
          <w:rtl/>
          <w:lang w:bidi="ar-DZ"/>
        </w:rPr>
        <w:t>1950</w:t>
      </w:r>
      <w:r>
        <w:rPr>
          <w:rFonts w:cs="Traditional Arabic" w:hint="cs"/>
          <w:sz w:val="36"/>
          <w:szCs w:val="36"/>
          <w:rtl/>
          <w:lang w:bidi="ar-DZ"/>
        </w:rPr>
        <w:t xml:space="preserve"> . وفي الدراسات العليا انتقل إلى دراسة الفلسفة ثم إلى الأنتروبولوجيا بعد اقتراح من أحد أساتذته، حيث حصل على الدكتوراه من جامعة هارفرد في </w:t>
      </w:r>
      <w:r w:rsidRPr="00524DDB">
        <w:rPr>
          <w:rFonts w:cs="Traditional Arabic" w:hint="cs"/>
          <w:sz w:val="28"/>
          <w:szCs w:val="28"/>
          <w:rtl/>
          <w:lang w:bidi="ar-DZ"/>
        </w:rPr>
        <w:t>1956</w:t>
      </w:r>
      <w:r>
        <w:rPr>
          <w:rFonts w:cs="Traditional Arabic" w:hint="cs"/>
          <w:sz w:val="36"/>
          <w:szCs w:val="36"/>
          <w:rtl/>
          <w:lang w:bidi="ar-DZ"/>
        </w:rPr>
        <w:t xml:space="preserve">، في </w:t>
      </w:r>
      <w:r w:rsidRPr="00524DDB">
        <w:rPr>
          <w:rFonts w:cs="Traditional Arabic" w:hint="cs"/>
          <w:sz w:val="28"/>
          <w:szCs w:val="28"/>
          <w:rtl/>
          <w:lang w:bidi="ar-DZ"/>
        </w:rPr>
        <w:t>1951</w:t>
      </w:r>
      <w:r>
        <w:rPr>
          <w:rFonts w:cs="Traditional Arabic" w:hint="cs"/>
          <w:sz w:val="36"/>
          <w:szCs w:val="36"/>
          <w:rtl/>
          <w:lang w:bidi="ar-DZ"/>
        </w:rPr>
        <w:t xml:space="preserve"> قام بأبحاث ميدانية في جاوة بأنلدونيسيا بالاشتراك مع زوجته هيلدرد، حيث درس هو موضوع الدين بينما كانت هي تدرس موضوع النسب والعلاقات </w:t>
      </w:r>
      <w:r>
        <w:rPr>
          <w:rFonts w:cs="Traditional Arabic" w:hint="cs"/>
          <w:sz w:val="36"/>
          <w:szCs w:val="36"/>
          <w:rtl/>
          <w:lang w:bidi="ar-DZ"/>
        </w:rPr>
        <w:lastRenderedPageBreak/>
        <w:t xml:space="preserve">العائلية في جاوة. وكانت نتيجة أبحاث جيرتز في جاوة كتابه الدين في جاوة. وعاد جيرتز إلى انديونيسيا للمزيد من البحث الميداني بين عامي </w:t>
      </w:r>
      <w:r w:rsidRPr="00524DDB">
        <w:rPr>
          <w:rFonts w:cs="Traditional Arabic" w:hint="cs"/>
          <w:sz w:val="28"/>
          <w:szCs w:val="28"/>
          <w:rtl/>
          <w:lang w:bidi="ar-DZ"/>
        </w:rPr>
        <w:t>1957</w:t>
      </w:r>
      <w:r>
        <w:rPr>
          <w:rFonts w:cs="Traditional Arabic" w:hint="cs"/>
          <w:sz w:val="36"/>
          <w:szCs w:val="36"/>
          <w:rtl/>
          <w:lang w:bidi="ar-DZ"/>
        </w:rPr>
        <w:t xml:space="preserve"> و </w:t>
      </w:r>
      <w:r w:rsidRPr="00524DDB">
        <w:rPr>
          <w:rFonts w:cs="Traditional Arabic" w:hint="cs"/>
          <w:sz w:val="28"/>
          <w:szCs w:val="28"/>
          <w:rtl/>
          <w:lang w:bidi="ar-DZ"/>
        </w:rPr>
        <w:t>1958</w:t>
      </w:r>
      <w:r>
        <w:rPr>
          <w:rFonts w:cs="Traditional Arabic" w:hint="cs"/>
          <w:sz w:val="36"/>
          <w:szCs w:val="36"/>
          <w:rtl/>
          <w:lang w:bidi="ar-DZ"/>
        </w:rPr>
        <w:t xml:space="preserve">. انتقل باهتماماته البحثية إلى المغرب بين </w:t>
      </w:r>
      <w:r w:rsidRPr="00524DDB">
        <w:rPr>
          <w:rFonts w:cs="Traditional Arabic" w:hint="cs"/>
          <w:sz w:val="28"/>
          <w:szCs w:val="28"/>
          <w:rtl/>
          <w:lang w:bidi="ar-DZ"/>
        </w:rPr>
        <w:t>1963</w:t>
      </w:r>
      <w:r>
        <w:rPr>
          <w:rFonts w:cs="Traditional Arabic" w:hint="cs"/>
          <w:sz w:val="36"/>
          <w:szCs w:val="36"/>
          <w:rtl/>
          <w:lang w:bidi="ar-DZ"/>
        </w:rPr>
        <w:t xml:space="preserve"> و </w:t>
      </w:r>
      <w:r w:rsidRPr="00524DDB">
        <w:rPr>
          <w:rFonts w:cs="Traditional Arabic" w:hint="cs"/>
          <w:sz w:val="28"/>
          <w:szCs w:val="28"/>
          <w:rtl/>
          <w:lang w:bidi="ar-DZ"/>
        </w:rPr>
        <w:t>1971</w:t>
      </w:r>
      <w:r>
        <w:rPr>
          <w:rFonts w:cs="Traditional Arabic" w:hint="cs"/>
          <w:sz w:val="36"/>
          <w:szCs w:val="36"/>
          <w:rtl/>
          <w:lang w:bidi="ar-DZ"/>
        </w:rPr>
        <w:t xml:space="preserve"> وكان من نتيجة أبحاثه المغربية كتابه ملاحظة الإسلام الذي مدحه إدموند ليش باعتباره مقاربة مستبصرة بعمق في الإسلام كما يراه الاندونيسيون وكما يراه المغاربة. وفي العام </w:t>
      </w:r>
      <w:r w:rsidRPr="00524DDB">
        <w:rPr>
          <w:rFonts w:cs="Traditional Arabic" w:hint="cs"/>
          <w:sz w:val="28"/>
          <w:szCs w:val="28"/>
          <w:rtl/>
          <w:lang w:bidi="ar-DZ"/>
        </w:rPr>
        <w:t>1973</w:t>
      </w:r>
      <w:r>
        <w:rPr>
          <w:rFonts w:cs="Traditional Arabic" w:hint="cs"/>
          <w:sz w:val="36"/>
          <w:szCs w:val="36"/>
          <w:rtl/>
          <w:lang w:bidi="ar-DZ"/>
        </w:rPr>
        <w:t xml:space="preserve"> نشر كتابه تأويل الثقافات الذي كان معبرا عن أفكار جيرتز الأساسية في التراث وكان له أثر مهم في الدراسات الأنتروبولوجية. وفي العام </w:t>
      </w:r>
      <w:r w:rsidRPr="00524DDB">
        <w:rPr>
          <w:rFonts w:cs="Traditional Arabic" w:hint="cs"/>
          <w:sz w:val="28"/>
          <w:szCs w:val="28"/>
          <w:rtl/>
          <w:lang w:bidi="ar-DZ"/>
        </w:rPr>
        <w:t>2000</w:t>
      </w:r>
      <w:r>
        <w:rPr>
          <w:rFonts w:cs="Traditional Arabic" w:hint="cs"/>
          <w:sz w:val="36"/>
          <w:szCs w:val="36"/>
          <w:rtl/>
          <w:lang w:bidi="ar-DZ"/>
        </w:rPr>
        <w:t xml:space="preserve"> ظهر كتابه ضوء جديد على الأنتروبولوجيا. عمل جيرتز أستاذا في العديد من الجامعات الأمريكية.</w:t>
      </w:r>
    </w:p>
    <w:p w:rsidR="00155C82" w:rsidRDefault="00155C82" w:rsidP="00155C82">
      <w:pPr>
        <w:bidi/>
        <w:spacing w:after="0"/>
        <w:jc w:val="both"/>
        <w:rPr>
          <w:rFonts w:cs="Traditional Arabic"/>
          <w:sz w:val="36"/>
          <w:szCs w:val="36"/>
          <w:rtl/>
          <w:lang w:bidi="ar-DZ"/>
        </w:rPr>
      </w:pPr>
      <w:r>
        <w:rPr>
          <w:rFonts w:cs="Traditional Arabic" w:hint="cs"/>
          <w:sz w:val="36"/>
          <w:szCs w:val="36"/>
          <w:rtl/>
          <w:lang w:bidi="ar-DZ"/>
        </w:rPr>
        <w:tab/>
        <w:t>يعد جيرتز من أكثر الأنتروبولوجيين الرمزيين اعتمادًا على منظومة متنوعة من النظريات والأفكار التي تنسب إلى ديلتاي وماكس فبير وبيرس وشوتز وسوزان لانجر وبيرك وولكر بيرسي وبول ريكور وفنجنشتاين وبارسونز.</w:t>
      </w:r>
    </w:p>
    <w:p w:rsidR="00155C82" w:rsidRDefault="00155C82" w:rsidP="00155C82">
      <w:pPr>
        <w:bidi/>
        <w:spacing w:after="0"/>
        <w:jc w:val="both"/>
        <w:rPr>
          <w:rFonts w:cs="Traditional Arabic"/>
          <w:sz w:val="36"/>
          <w:szCs w:val="36"/>
          <w:rtl/>
          <w:lang w:bidi="ar-DZ"/>
        </w:rPr>
      </w:pPr>
      <w:r>
        <w:rPr>
          <w:rFonts w:cs="Traditional Arabic" w:hint="cs"/>
          <w:sz w:val="36"/>
          <w:szCs w:val="36"/>
          <w:rtl/>
          <w:lang w:bidi="ar-DZ"/>
        </w:rPr>
        <w:tab/>
        <w:t xml:space="preserve">ويرجع الفضل إلى التأويلية في إحداث نقلة نوعية في الدراسات الأنتروبولوجية من القرن 20. إذ حولت الأنتروبولوجيا التأويلية الاهتمام من الدراسات التي تركز على السلوك الوظيفي والبناء الاجتماعي والتي كانت تهدف إلى تحقيق الوضعية من خلال إقامة علم طبيعي للمجتمع إلى الاهتمام بالمعنى والرمز والتأكيد على رؤية المبحوثين ووجهة نظرهم كجزء من العمل الأنتربولوجي. كما أن الاتجاه التأويلي حول تدريجيا الاهتمام ببناء نظرية عامة عن الثقافة والتي كانت تعتمد على المنهج البنيوي التجريدي إلى الاهتمام بالعمل الإنتوجرافي أو الكتابة الإنتوجرافية المكثفة والنظر إلى المجتمع على أنه نص يمكن قراءته وتأويله. فمع هذا الاتجاه أصبحت الإتنوجرافيا ليست مجرد تجربة ميدانية بالمفهوم التقليدي مثل جمع المادة الإتنوجرافية بل نتاجا مكتوبا للدراسة الميدانية. إذ إن الاستخدام المجازي للثقافة على أنها نصوص وضع علامة فارقة بين العالم السلوكي والمفسر أو المؤول الثقافي. وطبقا لهذه الرؤية فإن الأنشطة الاجتماعية والثقافية يمكن أن تقرأ لمعانيها من خلال الملاحظ تماما مثلما تكون المادة المكتوية متاحة للقراءة بصورة تقليدية، وعلاوة على ذلك فإن الإثنوغرافي لا يقرأ </w:t>
      </w:r>
      <w:r>
        <w:rPr>
          <w:rFonts w:cs="Traditional Arabic" w:hint="cs"/>
          <w:sz w:val="36"/>
          <w:szCs w:val="36"/>
          <w:rtl/>
          <w:lang w:bidi="ar-DZ"/>
        </w:rPr>
        <w:lastRenderedPageBreak/>
        <w:t>الرموز في الفعل فقط بل أيضا يستطيع أن يقرأ الشخص موضع الملاحظة أو الفاعلين في علاقتهم كل منهم بالآخر.</w:t>
      </w:r>
    </w:p>
    <w:p w:rsidR="00155C82" w:rsidRDefault="00155C82" w:rsidP="00155C82">
      <w:pPr>
        <w:bidi/>
        <w:spacing w:after="0"/>
        <w:ind w:firstLine="567"/>
        <w:jc w:val="both"/>
        <w:rPr>
          <w:rFonts w:cs="Traditional Arabic"/>
          <w:sz w:val="36"/>
          <w:szCs w:val="36"/>
          <w:rtl/>
          <w:lang w:bidi="ar-DZ"/>
        </w:rPr>
      </w:pPr>
      <w:r>
        <w:rPr>
          <w:rFonts w:cs="Traditional Arabic" w:hint="cs"/>
          <w:sz w:val="36"/>
          <w:szCs w:val="36"/>
          <w:rtl/>
          <w:lang w:bidi="ar-DZ"/>
        </w:rPr>
        <w:t>والأنتربولوجيا التأويلية تعالج الحياة الاجتماعية والأنشطة الثقافية من حيث هي ظواهر يمكن دراستها وفهمها على أنها حوار للمعاني أو نقاش يتعلق بالرموز المتضمنة لتلك المعاني.</w:t>
      </w:r>
    </w:p>
    <w:p w:rsidR="00155C82" w:rsidRDefault="00155C82" w:rsidP="00155C82">
      <w:pPr>
        <w:bidi/>
        <w:spacing w:after="0"/>
        <w:jc w:val="both"/>
        <w:rPr>
          <w:rFonts w:cs="Traditional Arabic"/>
          <w:sz w:val="36"/>
          <w:szCs w:val="36"/>
          <w:rtl/>
          <w:lang w:bidi="ar-DZ"/>
        </w:rPr>
      </w:pPr>
      <w:r>
        <w:rPr>
          <w:rFonts w:cs="Traditional Arabic" w:hint="cs"/>
          <w:sz w:val="36"/>
          <w:szCs w:val="36"/>
          <w:rtl/>
          <w:lang w:bidi="ar-DZ"/>
        </w:rPr>
        <w:tab/>
        <w:t>إن التيار التأويلي يركز على أهمية دور الأنتربولوجي في عملية التأمل وردود أفعاله في سياق العمل الإتنوغرافي والتأويل الثقافي المقارن، كما أنه يؤكد الأسلوب أو الطريقة التي بها يفهم الأنتروبولوجي النصوص الثقافية وقواعدها بالإضافة إلى فهم الأشكال المختلفة من الاتصال الثقافي مثل الشعائر ومعرفة القواعد التي يستخدمها الأفراد المبحوثون في استنتاج المعنى من الأنماط السلوكية والأشكال التعبيرية المستخدمة.</w:t>
      </w:r>
    </w:p>
    <w:p w:rsidR="00155C82" w:rsidRDefault="00155C82" w:rsidP="00155C82">
      <w:pPr>
        <w:bidi/>
        <w:spacing w:after="0"/>
        <w:jc w:val="both"/>
        <w:rPr>
          <w:rFonts w:cs="Traditional Arabic"/>
          <w:sz w:val="36"/>
          <w:szCs w:val="36"/>
          <w:rtl/>
          <w:lang w:bidi="ar-DZ"/>
        </w:rPr>
      </w:pPr>
      <w:r>
        <w:rPr>
          <w:rFonts w:cs="Traditional Arabic" w:hint="cs"/>
          <w:b/>
          <w:bCs/>
          <w:sz w:val="36"/>
          <w:szCs w:val="36"/>
          <w:rtl/>
          <w:lang w:bidi="ar-DZ"/>
        </w:rPr>
        <w:t>الثقافة من المنظور التأويلي:</w:t>
      </w:r>
      <w:r>
        <w:rPr>
          <w:rFonts w:cs="Traditional Arabic" w:hint="cs"/>
          <w:sz w:val="36"/>
          <w:szCs w:val="36"/>
          <w:rtl/>
          <w:lang w:bidi="ar-DZ"/>
        </w:rPr>
        <w:tab/>
        <w:t>يقول جيرتز "إن مفهوم الثقافة الذي اعتنقه، هو بالأساس مفهوم سيميائي. وأنا مقتنع مع ماكس فبير أن الإنسان هو حيوان عالق في شبكات  رمزية، نسجها بنفسه حول نفسه، وبالتالي أن أنظر إلى الثقافة على أنها هذه الشبكات، وأرى أن تحليلها يجب أن لا يكون علما تجريبيا يبحث عن قانون بل علما تأويليا يبحث عن معنى. وهكذا فأنا أبحث عن الشرح، شرح التعبيرات الاجتماعية وإجلاء غوامضها الظاهرة على السطح"</w:t>
      </w:r>
      <w:r>
        <w:rPr>
          <w:rStyle w:val="Appelnotedebasdep"/>
          <w:rFonts w:cs="Traditional Arabic"/>
          <w:sz w:val="36"/>
          <w:szCs w:val="36"/>
          <w:rtl/>
          <w:lang w:bidi="ar-DZ"/>
        </w:rPr>
        <w:footnoteReference w:id="2"/>
      </w:r>
    </w:p>
    <w:p w:rsidR="00155C82" w:rsidRDefault="00155C82" w:rsidP="00155C82">
      <w:pPr>
        <w:bidi/>
        <w:spacing w:after="0"/>
        <w:jc w:val="both"/>
        <w:rPr>
          <w:rFonts w:cs="Traditional Arabic"/>
          <w:sz w:val="36"/>
          <w:szCs w:val="36"/>
          <w:rtl/>
          <w:lang w:bidi="ar-DZ"/>
        </w:rPr>
      </w:pPr>
      <w:r>
        <w:rPr>
          <w:rFonts w:cs="Traditional Arabic" w:hint="cs"/>
          <w:sz w:val="36"/>
          <w:szCs w:val="36"/>
          <w:rtl/>
          <w:lang w:bidi="ar-DZ"/>
        </w:rPr>
        <w:tab/>
        <w:t>وهكذا فالثقافة عند جيرتز هي نسق من الرموز القابلة للتأويل. وهو يركز على البعد الثقافي الاجتماعي للرموز وليس البعد النفسي المتضمن في كتاب فرويد تأويل الأحلام. وبذلك فإن جيرتز يستخدم التأويل الرمزي للثقافة والمجتمع على خلاف فرويد الذي يركز على الجوانب النفسية اللاشعورية عند الفرد.</w:t>
      </w:r>
    </w:p>
    <w:p w:rsidR="00155C82" w:rsidRDefault="00155C82" w:rsidP="00155C82">
      <w:pPr>
        <w:bidi/>
        <w:spacing w:after="0"/>
        <w:jc w:val="both"/>
        <w:rPr>
          <w:rFonts w:cs="Traditional Arabic"/>
          <w:sz w:val="36"/>
          <w:szCs w:val="36"/>
          <w:rtl/>
          <w:lang w:bidi="ar-DZ"/>
        </w:rPr>
      </w:pPr>
      <w:r>
        <w:rPr>
          <w:rFonts w:cs="Traditional Arabic" w:hint="cs"/>
          <w:sz w:val="36"/>
          <w:szCs w:val="36"/>
          <w:rtl/>
          <w:lang w:bidi="ar-DZ"/>
        </w:rPr>
        <w:tab/>
        <w:t xml:space="preserve">لقد أشار جيرتز إلى أن الرموز من حيث هي حاملات للمعنى أو التصور تتخد معاني تؤلف نصوصا ثقافية تسمح للناس بأن يتواصلوا معا وأن يعبروا عن أنفسهم لأنفسهم. ويؤكد جيرتز أن سوء </w:t>
      </w:r>
      <w:r>
        <w:rPr>
          <w:rFonts w:cs="Traditional Arabic" w:hint="cs"/>
          <w:sz w:val="36"/>
          <w:szCs w:val="36"/>
          <w:rtl/>
          <w:lang w:bidi="ar-DZ"/>
        </w:rPr>
        <w:lastRenderedPageBreak/>
        <w:t>فهم الثقافة يرجع إلى الاتجاهات التي تنظر إليها على أنها واقع فوق عضوي له وجود خاص به ويتسم بقوى وأهداف تميزه عن غيره، وهذا النوع من التوجه يعلو بالثقافة ويرفعها عن واقعها الاجتماعي.</w:t>
      </w:r>
    </w:p>
    <w:p w:rsidR="00155C82" w:rsidRDefault="00155C82" w:rsidP="00155C82">
      <w:pPr>
        <w:bidi/>
        <w:spacing w:after="0"/>
        <w:jc w:val="both"/>
        <w:rPr>
          <w:rFonts w:cs="Traditional Arabic"/>
          <w:sz w:val="36"/>
          <w:szCs w:val="36"/>
          <w:rtl/>
          <w:lang w:bidi="ar-DZ"/>
        </w:rPr>
      </w:pPr>
      <w:r>
        <w:rPr>
          <w:rFonts w:cs="Traditional Arabic" w:hint="cs"/>
          <w:sz w:val="36"/>
          <w:szCs w:val="36"/>
          <w:rtl/>
          <w:lang w:bidi="ar-DZ"/>
        </w:rPr>
        <w:t xml:space="preserve">والثقافة عند جيرتز عامة </w:t>
      </w:r>
      <w:r w:rsidRPr="000107F1">
        <w:rPr>
          <w:rFonts w:cs="Traditional Arabic"/>
          <w:sz w:val="28"/>
          <w:szCs w:val="28"/>
          <w:lang w:bidi="ar-DZ"/>
        </w:rPr>
        <w:t>Public</w:t>
      </w:r>
      <w:r>
        <w:rPr>
          <w:rFonts w:cs="Traditional Arabic" w:hint="cs"/>
          <w:sz w:val="36"/>
          <w:szCs w:val="36"/>
          <w:rtl/>
          <w:lang w:bidi="ar-DZ"/>
        </w:rPr>
        <w:t xml:space="preserve"> لأنها تتألف من رموز ومعان هي أيضا عامة. فقد طور فكرة النسق الثقافي أو الرمزي وحررها من الأطر الجامدة عند كل من بارسونز ولفي- ستروس. كما أنه استخدام الصورة أو الرمز كي يكشف عن أنماط ثقافية معينة في مجتمعات بعينها كما هي الحال في دراسته لأنماط التفكير البالينيزي من خلال وصفه المكثف لصراع الديكة وفي مناقشته لجوانب معينة من الأنماط السياسية كما هي الحال في دراسته عن المسرح. وقد نحج جيرتز أن يثير الاهتمام حول القضايا التي درسها وحول المنهج الذي استخدمه وكذلك حول استخدامه للرموز أو التأويل الرمزي. يستخدم جيرتز كلمة رمز كي تعني أي موضوع أو شيء يدل على شيء آخر أو معنى آخر أو شخص ما. إذ يمكن لأي موضوع أو حدث أو فعل أو علاقة أن يصلح كحامل لتصور ما. وبعبارة أخرى الرمز هو حامل للتصور أو المعنى سواء كان ذلك الحامل موضوعا ماديا أو فعلا أو حادثة أو صفة أو علاقة. والمعنى عند جيرتز مرتبط بمفهوم علم حياة الإشارات في المجتمع. ويوسع جيرتز مفهوم الرمز ليشمل تقريبا أي شيء يمثل معنى معينا لدى الأفراد.</w:t>
      </w:r>
    </w:p>
    <w:p w:rsidR="00155C82" w:rsidRDefault="00155C82" w:rsidP="00155C82">
      <w:pPr>
        <w:bidi/>
        <w:spacing w:after="0"/>
        <w:jc w:val="both"/>
        <w:rPr>
          <w:rFonts w:cs="Traditional Arabic"/>
          <w:sz w:val="36"/>
          <w:szCs w:val="36"/>
          <w:rtl/>
          <w:lang w:bidi="ar-DZ"/>
        </w:rPr>
      </w:pPr>
      <w:r>
        <w:rPr>
          <w:rFonts w:cs="Traditional Arabic" w:hint="cs"/>
          <w:sz w:val="36"/>
          <w:szCs w:val="36"/>
          <w:rtl/>
          <w:lang w:bidi="ar-DZ"/>
        </w:rPr>
        <w:tab/>
        <w:t xml:space="preserve">فالكلمات مثل المفردات والمصطلحات والألفاظ والأبنية والتركيبات التي تتألف منها مثل الأساطير والقصص والنظريات والأصوات المتجسدة في الموسيقى والنغم واللحن والكلام، والصور مثل الأنماط والنماذج والرسم يمكن أن تكون رموزا، وأي موضوع يمكن أن أن يكون رمزيا سواء أكان موضوعا طبيعيا مثل المياه والمجوهرات أو موضوعا صناعيا مثل الأدوات والآلات كما أن الأحداث أو الوقائع مثل الشعائر والطقوس يمكن أن تكون ذات دلالات رمزية. ونفس المعنى ينطبق على العمليات والممارسات والنظم أو المجالات المؤلفة للنسق الثقافي الرمزي ككل مثل الدين والأيديولوجيا والحس العام والفن والعلم والفلسفة والقانون. فالدين مثلا هو نسق ثقافي مؤسس على الرموز المقدسة. </w:t>
      </w:r>
    </w:p>
    <w:p w:rsidR="00155C82" w:rsidRDefault="00155C82" w:rsidP="00155C82">
      <w:pPr>
        <w:bidi/>
        <w:spacing w:after="0"/>
        <w:jc w:val="both"/>
        <w:rPr>
          <w:rFonts w:cs="Traditional Arabic"/>
          <w:sz w:val="36"/>
          <w:szCs w:val="36"/>
          <w:rtl/>
          <w:lang w:bidi="ar-DZ"/>
        </w:rPr>
      </w:pPr>
      <w:r>
        <w:rPr>
          <w:rFonts w:cs="Traditional Arabic" w:hint="cs"/>
          <w:b/>
          <w:bCs/>
          <w:sz w:val="36"/>
          <w:szCs w:val="36"/>
          <w:rtl/>
          <w:lang w:bidi="ar-DZ"/>
        </w:rPr>
        <w:lastRenderedPageBreak/>
        <w:t>المنهج الإ</w:t>
      </w:r>
      <w:r w:rsidRPr="000107F1">
        <w:rPr>
          <w:rFonts w:cs="Traditional Arabic" w:hint="cs"/>
          <w:b/>
          <w:bCs/>
          <w:sz w:val="36"/>
          <w:szCs w:val="36"/>
          <w:rtl/>
          <w:lang w:bidi="ar-DZ"/>
        </w:rPr>
        <w:t>ثنوغرافي المك</w:t>
      </w:r>
      <w:r>
        <w:rPr>
          <w:rFonts w:cs="Traditional Arabic" w:hint="cs"/>
          <w:b/>
          <w:bCs/>
          <w:sz w:val="36"/>
          <w:szCs w:val="36"/>
          <w:rtl/>
          <w:lang w:bidi="ar-DZ"/>
        </w:rPr>
        <w:t>ث</w:t>
      </w:r>
      <w:r w:rsidRPr="000107F1">
        <w:rPr>
          <w:rFonts w:cs="Traditional Arabic" w:hint="cs"/>
          <w:b/>
          <w:bCs/>
          <w:sz w:val="36"/>
          <w:szCs w:val="36"/>
          <w:rtl/>
          <w:lang w:bidi="ar-DZ"/>
        </w:rPr>
        <w:t>ف وتأويل النص</w:t>
      </w:r>
      <w:r>
        <w:rPr>
          <w:rFonts w:cs="Traditional Arabic" w:hint="cs"/>
          <w:b/>
          <w:bCs/>
          <w:sz w:val="36"/>
          <w:szCs w:val="36"/>
          <w:rtl/>
          <w:lang w:bidi="ar-DZ"/>
        </w:rPr>
        <w:t xml:space="preserve">: </w:t>
      </w:r>
      <w:r>
        <w:rPr>
          <w:rFonts w:cs="Traditional Arabic" w:hint="cs"/>
          <w:sz w:val="36"/>
          <w:szCs w:val="36"/>
          <w:rtl/>
          <w:lang w:bidi="ar-DZ"/>
        </w:rPr>
        <w:t>يخضع جيرتز منهجه العلمي لطبيعة الدراسة التأويلية الرمزية التي يهدف إلى تحقيقها، فهو من ناحية يهتم بتحليل أنساق المعنى المتضمنة في الرموز، ومن ناحية أخرى يربط أنساق المعنى بالعمليات الاجتماعية وأنماط التفاعل الاجتماعي.</w:t>
      </w:r>
    </w:p>
    <w:p w:rsidR="00155C82" w:rsidRDefault="00155C82" w:rsidP="00155C82">
      <w:pPr>
        <w:bidi/>
        <w:spacing w:after="0"/>
        <w:jc w:val="both"/>
        <w:rPr>
          <w:rFonts w:cs="Traditional Arabic"/>
          <w:sz w:val="36"/>
          <w:szCs w:val="36"/>
          <w:rtl/>
          <w:lang w:bidi="ar-DZ"/>
        </w:rPr>
      </w:pPr>
      <w:r>
        <w:rPr>
          <w:rFonts w:cs="Traditional Arabic" w:hint="cs"/>
          <w:sz w:val="36"/>
          <w:szCs w:val="36"/>
          <w:rtl/>
          <w:lang w:bidi="ar-DZ"/>
        </w:rPr>
        <w:tab/>
        <w:t>وطالما أن موضوع الدراسة هو نسيج المعاني والرموز المؤلف للثقافة والموجه للفعل الاجتماعي فإنه يتطلب ليس العلم التجريبي الذي يبحث عن القانون والأسباب التي ينجم عنها نتائج معينة بل يتطلب التحليل الوصفي التأويلي الذي يبحث عن المعنى. ومن أجل تفسير المعنى فإن الأنتروبولوجي يبحث عنه بين الناس في تفاعلهم الاجتماعي إذ أن هؤلاء الناس هم الذين أضافوا أو فرضوا المعنى على الأفعال والموضوعات والظواهر التي يتعاملون معها.</w:t>
      </w:r>
      <w:r>
        <w:rPr>
          <w:rStyle w:val="Appelnotedebasdep"/>
          <w:rFonts w:cs="Traditional Arabic"/>
          <w:sz w:val="36"/>
          <w:szCs w:val="36"/>
          <w:rtl/>
          <w:lang w:bidi="ar-DZ"/>
        </w:rPr>
        <w:footnoteReference w:id="3"/>
      </w:r>
    </w:p>
    <w:p w:rsidR="00155C82" w:rsidRDefault="00155C82" w:rsidP="00155C82">
      <w:pPr>
        <w:bidi/>
        <w:spacing w:after="0"/>
        <w:jc w:val="both"/>
        <w:rPr>
          <w:rFonts w:cs="Traditional Arabic"/>
          <w:sz w:val="36"/>
          <w:szCs w:val="36"/>
          <w:rtl/>
          <w:lang w:bidi="ar-DZ"/>
        </w:rPr>
      </w:pPr>
      <w:r>
        <w:rPr>
          <w:rFonts w:cs="Traditional Arabic" w:hint="cs"/>
          <w:sz w:val="36"/>
          <w:szCs w:val="36"/>
          <w:rtl/>
          <w:lang w:bidi="ar-DZ"/>
        </w:rPr>
        <w:tab/>
        <w:t>ومن منطلق اهتمام جيرتز بدراسة المعاني المتضمنة في الرموز أو الأفعال أو الأحداث أو الموضوعات، فإنه طور الدراسة الإتنوغرافية وعمقها وجعل منها منهجا أطلق عليه الوصف المكثف الذي هو جوهر المدخل التأويلي الرمزي. وهذا المنهج يتأسس على أربع خصائص هي: إنه أولا تأويلي، وثانيا إن ما يؤوله أو يفسره هو سياق الخطاب الاجتماعي، وثالثا التأويل يتضمن محاولة تأمين أو حماية ما يقال في مثل الخطاب الاجتماعي من المواقف أو الظروف التي يمكن أن تمحوه وذلك من خلال تثبيته في حدود أو كلمات أو مصطلحات يمكن تتبعها، وأخير رابعا إن مثل هذا الوصف يكون محليا ومكثفا ومن منظور تفصيلي دقيق أو يسعى إلى الوصول إلى أدق التفاصيل.</w:t>
      </w:r>
    </w:p>
    <w:p w:rsidR="00155C82" w:rsidRDefault="00155C82" w:rsidP="00155C82">
      <w:pPr>
        <w:bidi/>
        <w:spacing w:after="0"/>
        <w:jc w:val="both"/>
        <w:rPr>
          <w:rFonts w:cs="Traditional Arabic"/>
          <w:sz w:val="36"/>
          <w:szCs w:val="36"/>
          <w:rtl/>
          <w:lang w:bidi="ar-DZ"/>
        </w:rPr>
      </w:pPr>
      <w:r>
        <w:rPr>
          <w:rFonts w:cs="Traditional Arabic" w:hint="cs"/>
          <w:sz w:val="36"/>
          <w:szCs w:val="36"/>
          <w:rtl/>
          <w:lang w:bidi="ar-DZ"/>
        </w:rPr>
        <w:tab/>
        <w:t>يسعى المنهج الإنتوغرافي المكثف إلى استخراج أو استنتاج وجهة نظر وآراء أو رؤى المواطنين أو الأفراد موضع الدراسة مع توضيح كيفية تأثير الأبنية الثقافية المختلفة على الفعل الاجتماعي. ذلك لأن ما يواجهه الإتنوغرافي ليس مجرد ظواهر متفرقة بل عدد كبير من الأبنية التصورية المعقدة المتداخلة فيما بينها والتي تتطلب نوعا خاصا من الوصف الإنتوغرافي المكثف.</w:t>
      </w:r>
    </w:p>
    <w:p w:rsidR="00155C82" w:rsidRDefault="00155C82" w:rsidP="00155C82">
      <w:pPr>
        <w:bidi/>
        <w:spacing w:after="0"/>
        <w:jc w:val="both"/>
        <w:rPr>
          <w:rFonts w:cs="Traditional Arabic"/>
          <w:sz w:val="36"/>
          <w:szCs w:val="36"/>
          <w:rtl/>
          <w:lang w:bidi="ar-DZ"/>
        </w:rPr>
      </w:pPr>
      <w:r>
        <w:rPr>
          <w:rFonts w:cs="Traditional Arabic" w:hint="cs"/>
          <w:sz w:val="36"/>
          <w:szCs w:val="36"/>
          <w:rtl/>
          <w:lang w:bidi="ar-DZ"/>
        </w:rPr>
        <w:tab/>
        <w:t xml:space="preserve">إن الدراسة الإتنوغرافية لمجتمع أو ثقافة معينة تصف ونؤول سلوك الأفراد على أنها أنماط ثقافية مألوفة في المضمون الاجتماعي التي توجد فيه ومن وجهة نظر الأشخاص الذين يقومون بتلك </w:t>
      </w:r>
      <w:r>
        <w:rPr>
          <w:rFonts w:cs="Traditional Arabic" w:hint="cs"/>
          <w:sz w:val="36"/>
          <w:szCs w:val="36"/>
          <w:rtl/>
          <w:lang w:bidi="ar-DZ"/>
        </w:rPr>
        <w:lastRenderedPageBreak/>
        <w:t>الأفعال. أفعال الأفراد وكذلك الأحداث الاجتماعية تعامل على أنها نصوص قابلة للقراءة. فالإتنوغرافي يكتب الخطاب الاجتماعي أو الأحداث الاجتماعية وهو بذلك يحولها من مجرد أحداث عابرة تقع في اللحظة التي تحدث فيها، إلى تقرير أو نص يرجع إليه فيما بعد ويقرأه كما يقرأه غيره من الأفراد. إن الإتنوغرافيا فيما يرى جيرتز تشبه قراءة نص أو هي تحليل نص بقوله إن المادة التي يتعامل معها الإتنوغرافي هي عبارة عن أبنية تصورية متنوعة ومتعددة. وهي تحتاج لفهم مباشر ومتواصل والذي يشبه الفهم عند قراءة نص معين. فالأشكال أو الأنماط الثقافية يمكن دراستها وفهم معناها على أنها نصوص وعلى أنها أعمال خيالية تتألف من مواد اجتماعية. إن الوصف الإتنوغرافي أو القراءة الإتنوغرافية التي هي عبارة عن قراءة الأحداث والأفعال لا تنفصل عن الأحداث والأفعال موضع الدراسة وإلا أصبحت تلك الأفعال خالية من المعنى. وهنا يؤكد جيرتز دور الإثنوغرافي في التعامل مع الأحداث الاجتماعية وأفعال الأفراد على أنها نصوص يمكن عزلها مؤقتا عن الموقف بحيث يمكن قراءتها وفهم معناها، أي النصوص، فيما بعد وفي غياب الموقف ذاته، ولكن ليست منفصلة عن المضمون. فقراءة النص تعني هنا العملية التي من خلالها تصبح الأنماط غير المكتوبة من السلوك واللغة أو الكلام والمعتقدات والتراث الشفهي والشعائر مؤلفة لنص متسق ذي معنى ومغزى.</w:t>
      </w:r>
    </w:p>
    <w:p w:rsidR="00155C82" w:rsidRDefault="00155C82" w:rsidP="00155C82">
      <w:pPr>
        <w:bidi/>
        <w:spacing w:after="0"/>
        <w:ind w:firstLine="567"/>
        <w:jc w:val="both"/>
        <w:rPr>
          <w:rFonts w:cs="Traditional Arabic"/>
          <w:sz w:val="36"/>
          <w:szCs w:val="36"/>
          <w:rtl/>
          <w:lang w:bidi="ar-DZ"/>
        </w:rPr>
      </w:pPr>
      <w:r>
        <w:rPr>
          <w:rFonts w:cs="Traditional Arabic" w:hint="cs"/>
          <w:sz w:val="36"/>
          <w:szCs w:val="36"/>
          <w:rtl/>
          <w:lang w:bidi="ar-DZ"/>
        </w:rPr>
        <w:t xml:space="preserve">يركز المنهج الإتنوغرافي المكثف على الرموز الثقافية ليس في شكل مجرد منفصل عن الوقع بل في وجودها وتغلغلها في نسيج الحياة الاجتماعية كما يعيشها الأفراد في تفاعلهم الاجتماعي. ولقد طبق جيرتز هذا المنهج على عدد من الدراسات الإتنوغرافية التي قام بها. فمثلا وجد في بالي بأندونيسيا أن هناك اهتماما كبيرًا لدى الرجال بصراع الديكة وقد شاهد بنفسه هذه الرياضة القائمة على التنافس والرهان أو القمار بين الرجال. وقد قدم وصفا مكثف لأنواع القمار طبقا لتدرجها الهرمي وطبقا لأهميتها بين الناس. وعلى قمة هذا التدرج توجد لعبة صراع الديكة التي تهدف إلى إظهار المكانة الاجتماعية بصورة رمزية في مقابل صراع الديكة الذي يهدف إلى الحصول على المال والذي يعتبر صراعا ضحلا سطحيا وليس عميقا. وصراع الديكة مظهر أو فعل رمزي يكشف عن نرجسية ذاتية لدى الرجال كما أنها تعبر بصورة عن التغير نحو الاتجاه المعاكس للجوانب الأخلاقية والجماعية لمكانة </w:t>
      </w:r>
      <w:r>
        <w:rPr>
          <w:rFonts w:cs="Traditional Arabic" w:hint="cs"/>
          <w:sz w:val="36"/>
          <w:szCs w:val="36"/>
          <w:rtl/>
          <w:lang w:bidi="ar-DZ"/>
        </w:rPr>
        <w:lastRenderedPageBreak/>
        <w:t>الإنسان. بمعنى أنها ترمز للحيوانية. ويعتمد صراع الديكة على الرهان بين رجلين كل منهما يمتلك ديكا بضعة في حالة انتظار وتأهب حتى تبدأ المنافسة والرجال الذين يراهنون بمبالغ كبيرة من المال يضعون أنفسهم أو مكانتهم العامة عند الحد الذي يكون فيه الديك الخاص يهم وسيطا رمزيا قد يخذلهم أو يجلب لهم الفخر والزهو وإن كان بعض الرجال يخاطرون بأموال كبيرة وقابلة للخسارة فإنهم يفعلون ذلك مدفوعين بالمعنى أو المغزى الذي يصفونه على الحياة والذي يعوضهم اجتماعيا ومعنويا عن الخسارة أو التكاليف الاقتصادية.</w:t>
      </w:r>
      <w:r>
        <w:rPr>
          <w:rStyle w:val="Appelnotedebasdep"/>
          <w:rFonts w:cs="Traditional Arabic"/>
          <w:sz w:val="36"/>
          <w:szCs w:val="36"/>
          <w:rtl/>
          <w:lang w:bidi="ar-DZ"/>
        </w:rPr>
        <w:footnoteReference w:id="4"/>
      </w:r>
    </w:p>
    <w:p w:rsidR="00155C82" w:rsidRDefault="00155C82" w:rsidP="00155C82">
      <w:pPr>
        <w:bidi/>
        <w:spacing w:after="0"/>
        <w:jc w:val="both"/>
        <w:rPr>
          <w:rFonts w:cs="Traditional Arabic"/>
          <w:sz w:val="36"/>
          <w:szCs w:val="36"/>
          <w:rtl/>
          <w:lang w:bidi="ar-DZ"/>
        </w:rPr>
      </w:pPr>
      <w:r>
        <w:rPr>
          <w:rFonts w:cs="Traditional Arabic" w:hint="cs"/>
          <w:sz w:val="36"/>
          <w:szCs w:val="36"/>
          <w:rtl/>
          <w:lang w:bidi="ar-DZ"/>
        </w:rPr>
        <w:tab/>
        <w:t>إن الأفراد هم الذين يقومون بوصف وتأويل الأفعال والأحداث اليومية بصورة تجعل من حياتهم الاجتماعية والثقافية جزءًا من الواقع الذي يصفونه ويؤولونه. وهذه الأوصاف والتأويلات التي يقدمها الأفراد في حوارهم مع الإتنوغرافي تعد جزءًا من الأنتروبولوجيا وعنصرا هاما في نسق التحليل العلمي.</w:t>
      </w:r>
    </w:p>
    <w:p w:rsidR="00155C82" w:rsidRDefault="00155C82" w:rsidP="00155C82">
      <w:pPr>
        <w:bidi/>
        <w:spacing w:after="0"/>
        <w:jc w:val="both"/>
        <w:rPr>
          <w:rFonts w:cs="Traditional Arabic"/>
          <w:sz w:val="36"/>
          <w:szCs w:val="36"/>
          <w:rtl/>
          <w:lang w:bidi="ar-DZ"/>
        </w:rPr>
      </w:pPr>
      <w:r>
        <w:rPr>
          <w:rFonts w:cs="Traditional Arabic" w:hint="cs"/>
          <w:sz w:val="36"/>
          <w:szCs w:val="36"/>
          <w:rtl/>
          <w:lang w:bidi="ar-DZ"/>
        </w:rPr>
        <w:t xml:space="preserve">ويؤكد جيرتز مفهوم تقريب وجهات النظر بين المبحوثين والإثنوغرافي والتي تتحقق من خلال الحوار والنقاش المستمر والذي من خلاله يعبر الأفراد أو الإخباريين عن تصوراتهم وتأويلاتهم لأحداث معينة ويصححون أو يصوبون التصورات التي تفهم عنهم خطأ بحيث يتحقق الاتفاق والفهم المتبادل بينهم وبين الإتنوجرافي. وبعد هذه الخطوة من الأوصاف والتأويلات التي يقدمها المبحوثون والتي يفهمها ويقبلها الأنتروبولوجي يأتي دور الأخير في كتابة ما فهمه أو قرأه في تقريره العلمي. وبعبارة أخرى يأتي التفسير أو التأويل الأنتروبولوجي بعد تصنيف وترتيب وتنظيم ما بقوله ويعتقد فيه الإخباريون، وبعد فهمه أي الأنتربولوجي لأفعالهم. فالتقارير والكتابات التي يقدمها الأنتروبولوجي هي عبارة عن تفسيرات وتأويلات أو نماذج ثانية وثالثة لنفس التفسير أو التأويل الأول الذي قدمه الإخباريون أو الأفراد. فالأوصاف والتأويلات التي يقدمها الإخباريون تشبه الروايات أو القصص أو الحكايات بمعنى أنها تخضع لعملية صياغة وتأليف وإن كان في شكل تلقائي ومن خلال الحوار والمناقشات وهذا ما </w:t>
      </w:r>
      <w:r>
        <w:rPr>
          <w:rFonts w:cs="Traditional Arabic" w:hint="cs"/>
          <w:sz w:val="36"/>
          <w:szCs w:val="36"/>
          <w:rtl/>
          <w:lang w:bidi="ar-DZ"/>
        </w:rPr>
        <w:lastRenderedPageBreak/>
        <w:t>حدا بجيرتز إلى أن ينظر إلى ثقافة مجتمع ما على أنها مجموعة من النصوص جمعها الشعب نفسه أو هي رواية يحكيها الناس لأنفسهم عن أنفسهم.</w:t>
      </w:r>
    </w:p>
    <w:p w:rsidR="00155C82" w:rsidRDefault="00155C82" w:rsidP="00155C82">
      <w:pPr>
        <w:bidi/>
        <w:spacing w:after="0"/>
        <w:jc w:val="both"/>
        <w:rPr>
          <w:rFonts w:cs="Traditional Arabic"/>
          <w:b/>
          <w:bCs/>
          <w:sz w:val="36"/>
          <w:szCs w:val="36"/>
          <w:rtl/>
          <w:lang w:bidi="ar-DZ"/>
        </w:rPr>
      </w:pPr>
    </w:p>
    <w:p w:rsidR="00155C82" w:rsidRDefault="00155C82" w:rsidP="00155C82">
      <w:pPr>
        <w:bidi/>
        <w:spacing w:after="0"/>
        <w:jc w:val="both"/>
        <w:rPr>
          <w:rFonts w:cs="Traditional Arabic"/>
          <w:b/>
          <w:bCs/>
          <w:sz w:val="36"/>
          <w:szCs w:val="36"/>
          <w:rtl/>
          <w:lang w:bidi="ar-DZ"/>
        </w:rPr>
      </w:pPr>
    </w:p>
    <w:p w:rsidR="00155C82" w:rsidRDefault="00155C82" w:rsidP="00155C82">
      <w:pPr>
        <w:bidi/>
        <w:spacing w:after="0"/>
        <w:jc w:val="both"/>
        <w:rPr>
          <w:rFonts w:cs="Traditional Arabic"/>
          <w:b/>
          <w:bCs/>
          <w:sz w:val="36"/>
          <w:szCs w:val="36"/>
          <w:rtl/>
          <w:lang w:bidi="ar-DZ"/>
        </w:rPr>
      </w:pPr>
    </w:p>
    <w:p w:rsidR="00155C82" w:rsidRDefault="00155C82" w:rsidP="00155C82">
      <w:pPr>
        <w:bidi/>
        <w:spacing w:after="0"/>
        <w:jc w:val="both"/>
        <w:rPr>
          <w:rFonts w:cs="Traditional Arabic"/>
          <w:b/>
          <w:bCs/>
          <w:sz w:val="36"/>
          <w:szCs w:val="36"/>
          <w:rtl/>
          <w:lang w:bidi="ar-DZ"/>
        </w:rPr>
      </w:pPr>
    </w:p>
    <w:p w:rsidR="00155C82" w:rsidRDefault="00155C82" w:rsidP="00155C82">
      <w:pPr>
        <w:bidi/>
        <w:spacing w:after="0"/>
        <w:jc w:val="both"/>
        <w:rPr>
          <w:rFonts w:cs="Traditional Arabic"/>
          <w:b/>
          <w:bCs/>
          <w:sz w:val="36"/>
          <w:szCs w:val="36"/>
          <w:rtl/>
          <w:lang w:bidi="ar-DZ"/>
        </w:rPr>
      </w:pPr>
    </w:p>
    <w:p w:rsidR="00155C82" w:rsidRDefault="00155C82" w:rsidP="00155C82">
      <w:pPr>
        <w:bidi/>
        <w:spacing w:after="0"/>
        <w:jc w:val="both"/>
        <w:rPr>
          <w:rFonts w:cs="Traditional Arabic"/>
          <w:b/>
          <w:bCs/>
          <w:sz w:val="36"/>
          <w:szCs w:val="36"/>
          <w:rtl/>
          <w:lang w:bidi="ar-DZ"/>
        </w:rPr>
      </w:pPr>
    </w:p>
    <w:p w:rsidR="00155C82" w:rsidRDefault="00155C82" w:rsidP="00155C82">
      <w:pPr>
        <w:bidi/>
        <w:spacing w:after="0"/>
        <w:jc w:val="both"/>
        <w:rPr>
          <w:rFonts w:cs="Traditional Arabic"/>
          <w:b/>
          <w:bCs/>
          <w:sz w:val="36"/>
          <w:szCs w:val="36"/>
          <w:rtl/>
          <w:lang w:bidi="ar-DZ"/>
        </w:rPr>
      </w:pPr>
    </w:p>
    <w:p w:rsidR="00155C82" w:rsidRDefault="00155C82" w:rsidP="00155C82">
      <w:pPr>
        <w:bidi/>
        <w:spacing w:after="0"/>
        <w:jc w:val="both"/>
        <w:rPr>
          <w:rFonts w:cs="Traditional Arabic"/>
          <w:b/>
          <w:bCs/>
          <w:sz w:val="36"/>
          <w:szCs w:val="36"/>
          <w:rtl/>
          <w:lang w:bidi="ar-DZ"/>
        </w:rPr>
      </w:pPr>
    </w:p>
    <w:p w:rsidR="00155C82" w:rsidRDefault="00155C82" w:rsidP="00155C82">
      <w:pPr>
        <w:bidi/>
        <w:spacing w:after="0"/>
        <w:jc w:val="both"/>
        <w:rPr>
          <w:rFonts w:cs="Traditional Arabic"/>
          <w:b/>
          <w:bCs/>
          <w:sz w:val="36"/>
          <w:szCs w:val="36"/>
          <w:rtl/>
          <w:lang w:bidi="ar-DZ"/>
        </w:rPr>
      </w:pPr>
    </w:p>
    <w:p w:rsidR="00155C82" w:rsidRDefault="00155C82" w:rsidP="00155C82">
      <w:pPr>
        <w:bidi/>
        <w:spacing w:after="0"/>
        <w:jc w:val="both"/>
        <w:rPr>
          <w:rFonts w:cs="Traditional Arabic"/>
          <w:sz w:val="36"/>
          <w:szCs w:val="36"/>
          <w:rtl/>
          <w:lang w:bidi="ar-DZ"/>
        </w:rPr>
      </w:pPr>
    </w:p>
    <w:p w:rsidR="00155C82" w:rsidRDefault="00155C82" w:rsidP="00155C82">
      <w:pPr>
        <w:bidi/>
        <w:spacing w:after="0"/>
        <w:ind w:left="-2"/>
        <w:rPr>
          <w:rFonts w:cs="Traditional Arabic"/>
          <w:b/>
          <w:bCs/>
          <w:sz w:val="36"/>
          <w:szCs w:val="36"/>
          <w:rtl/>
          <w:lang w:bidi="ar-DZ"/>
        </w:rPr>
      </w:pPr>
      <w:r>
        <w:rPr>
          <w:rFonts w:cs="Traditional Arabic" w:hint="cs"/>
          <w:b/>
          <w:bCs/>
          <w:sz w:val="36"/>
          <w:szCs w:val="36"/>
          <w:rtl/>
          <w:lang w:bidi="ar-DZ"/>
        </w:rPr>
        <w:t>4-11-مدرسة الإتنوجرافيا الجديدة</w:t>
      </w:r>
    </w:p>
    <w:p w:rsidR="00155C82" w:rsidRDefault="00155C82" w:rsidP="00155C82">
      <w:pPr>
        <w:bidi/>
        <w:spacing w:after="0"/>
        <w:ind w:left="-2" w:firstLine="569"/>
        <w:jc w:val="both"/>
        <w:rPr>
          <w:rFonts w:cs="Traditional Arabic"/>
          <w:sz w:val="36"/>
          <w:szCs w:val="36"/>
          <w:rtl/>
          <w:lang w:bidi="ar-DZ"/>
        </w:rPr>
      </w:pPr>
      <w:r>
        <w:rPr>
          <w:rFonts w:cs="Traditional Arabic" w:hint="cs"/>
          <w:sz w:val="36"/>
          <w:szCs w:val="36"/>
          <w:rtl/>
          <w:lang w:bidi="ar-DZ"/>
        </w:rPr>
        <w:t xml:space="preserve">ظهور هذه المدرة متزامن مع المدرسة البنيوية، تشكلت على يد مجموعة من الإتنولوجيين الأمريكيين الذين قاموا بمحاولة لتأكيد عملية وموضوعية دراسة الثقافات الإنسانية، وذلك عن طريق تقديم وصف وتحليل الثقافة في إطار المفاهيم والتصورات التي لدى الأفراد ذاتهم وكما تتمثل في لغتهم. وبمعنى آخر فلكي تتحقق الموضوعية في الدراسات الإتنوجرافية لابد أن يحجم الباحث الأجنبي عن إقحام مفاهيمه واتجاهاته التحليلية وأن يترك ذلك لأصحاب تلك الثقافة أنفسهم، وقد عرف أصحاب هذا المنهج في دراسة الثقافة الإنسانية باسم "علماء دراسة الشعوب" وأصبح هدفهم الرئيس هو الكشف عن تصورات شعب معين لنمط الحياة داخل مجتمعهم، وإيضاح الأسس العقلية والأصول الثقافية التي يستندون إليها في تنظيم العلاقات الاجتماعية، ووضع قواعد السلوك، ونظم </w:t>
      </w:r>
      <w:r>
        <w:rPr>
          <w:rFonts w:cs="Traditional Arabic" w:hint="cs"/>
          <w:sz w:val="36"/>
          <w:szCs w:val="36"/>
          <w:rtl/>
          <w:lang w:bidi="ar-DZ"/>
        </w:rPr>
        <w:lastRenderedPageBreak/>
        <w:t>القيم</w:t>
      </w:r>
      <w:r>
        <w:rPr>
          <w:rStyle w:val="Appelnotedebasdep"/>
          <w:rFonts w:cs="Traditional Arabic"/>
          <w:sz w:val="36"/>
          <w:szCs w:val="36"/>
          <w:rtl/>
          <w:lang w:bidi="ar-DZ"/>
        </w:rPr>
        <w:footnoteReference w:id="5"/>
      </w:r>
      <w:r>
        <w:rPr>
          <w:rFonts w:cs="Traditional Arabic" w:hint="cs"/>
          <w:sz w:val="36"/>
          <w:szCs w:val="36"/>
          <w:rtl/>
          <w:lang w:bidi="ar-DZ"/>
        </w:rPr>
        <w:t>. وفي إطار هذا المنظور التحليلي، أوضحت عدة دراسات إتنولوجية كيف أن الشعوب تختلف فيما بينها من ناحية المعايير والأسس التي يصنف على أساسها الأفراد مفاهيمهم واتجاهاتهم بصدد التصنيفات المختلفة للأشياء كالألوان مثلا أو الطعام أو النبات أو الحيوان.</w:t>
      </w:r>
    </w:p>
    <w:p w:rsidR="00155C82" w:rsidRDefault="00155C82" w:rsidP="00155C82">
      <w:pPr>
        <w:bidi/>
        <w:spacing w:after="0"/>
        <w:ind w:left="-2"/>
        <w:jc w:val="both"/>
        <w:rPr>
          <w:rFonts w:cs="Traditional Arabic"/>
          <w:sz w:val="36"/>
          <w:szCs w:val="36"/>
          <w:rtl/>
          <w:lang w:bidi="ar-DZ"/>
        </w:rPr>
      </w:pPr>
      <w:r>
        <w:rPr>
          <w:rFonts w:cs="Traditional Arabic" w:hint="cs"/>
          <w:sz w:val="36"/>
          <w:szCs w:val="36"/>
          <w:rtl/>
          <w:lang w:bidi="ar-DZ"/>
        </w:rPr>
        <w:tab/>
      </w:r>
      <w:r>
        <w:rPr>
          <w:rFonts w:cs="Traditional Arabic" w:hint="cs"/>
          <w:sz w:val="36"/>
          <w:szCs w:val="36"/>
          <w:rtl/>
          <w:lang w:bidi="ar-DZ"/>
        </w:rPr>
        <w:tab/>
        <w:t>وعلى هذا الأساس فإن أتباع الإتنوجرافيا الجديدة يميلون إلى أن تتضمن دراستهم للثقافة وصف الثقافة وتحليلها كما يراها أفراد المجتمع، لا كما ينظر إليها أو يفسرها الباحث الإتنوجرافي ذاته، وقد ارتأوا أن تحليل لغة الأهالي هي أفضل السبل لتحقيق هذا الهدف. لهذا أبدى ممثلوا هذا التيار اهتماما كبيرا بدراسة وتحليل اللغة الوطنية لمجتمعات الدراسة. وذلك لاستخراج ما في مفرداتها من مفاهيم ومضامين وما قد تحتويه من قيم وأفكار وتصورات، لا يمكن معرفتها أو التوصل إليها عن طريق ملاحظة السلوك الظاهري لأفراد المجتمع.</w:t>
      </w:r>
    </w:p>
    <w:p w:rsidR="00155C82" w:rsidRDefault="00155C82" w:rsidP="00155C82">
      <w:pPr>
        <w:bidi/>
        <w:spacing w:after="0"/>
        <w:ind w:left="-2" w:firstLine="569"/>
        <w:jc w:val="both"/>
        <w:rPr>
          <w:rFonts w:cs="Traditional Arabic"/>
          <w:sz w:val="36"/>
          <w:szCs w:val="36"/>
          <w:rtl/>
          <w:lang w:bidi="ar-DZ"/>
        </w:rPr>
      </w:pPr>
      <w:r>
        <w:rPr>
          <w:rFonts w:cs="Traditional Arabic" w:hint="cs"/>
          <w:sz w:val="36"/>
          <w:szCs w:val="36"/>
          <w:rtl/>
          <w:lang w:bidi="ar-DZ"/>
        </w:rPr>
        <w:tab/>
        <w:t>وقد اهتم كذلك الإتنوجرافيون الجدد بالمعلومات التي يدلي بها الاخباريون، وإبراز السياقات والظروف التي أعطيت فيها تلك المعلومات. وفي هذا الإطار برز الاهتمام منذ بداية السبعينات وخلالها بتدوين خبرات الأنتروبولوجيين في العمل الحقلي، ونشرت عدة مؤلفات في هذا الصدد.</w:t>
      </w:r>
    </w:p>
    <w:p w:rsidR="00155C82" w:rsidRDefault="00155C82" w:rsidP="00155C82">
      <w:pPr>
        <w:pStyle w:val="Notedebasdepage"/>
        <w:rPr>
          <w:sz w:val="24"/>
          <w:szCs w:val="24"/>
          <w:lang w:bidi="ar-DZ"/>
        </w:rPr>
      </w:pPr>
    </w:p>
    <w:p w:rsidR="00155C82" w:rsidRPr="00924046" w:rsidRDefault="00155C82" w:rsidP="00155C82">
      <w:pPr>
        <w:pStyle w:val="Paragraphedeliste"/>
        <w:tabs>
          <w:tab w:val="left" w:pos="425"/>
        </w:tabs>
        <w:bidi/>
        <w:spacing w:after="0" w:line="240" w:lineRule="auto"/>
        <w:ind w:left="0" w:firstLine="565"/>
        <w:jc w:val="both"/>
        <w:rPr>
          <w:rFonts w:cs="Traditional Arabic" w:hint="cs"/>
          <w:sz w:val="34"/>
          <w:szCs w:val="34"/>
          <w:rtl/>
        </w:rPr>
      </w:pPr>
      <w:r w:rsidRPr="00924046">
        <w:rPr>
          <w:rFonts w:cs="Traditional Arabic" w:hint="cs"/>
          <w:b/>
          <w:bCs/>
          <w:sz w:val="34"/>
          <w:szCs w:val="34"/>
          <w:rtl/>
        </w:rPr>
        <w:t>المادية الثقافية</w:t>
      </w:r>
      <w:r w:rsidRPr="00924046">
        <w:rPr>
          <w:rFonts w:cs="Traditional Arabic" w:hint="cs"/>
          <w:sz w:val="34"/>
          <w:szCs w:val="34"/>
          <w:rtl/>
        </w:rPr>
        <w:t xml:space="preserve">: هذا التيار ظهر في الولايات المتحدة على يد أحد  الوارثين لفكر ستيوارد ألا وهو مارفين هاريس </w:t>
      </w:r>
      <w:r w:rsidRPr="00924046">
        <w:rPr>
          <w:rFonts w:cs="Traditional Arabic"/>
          <w:sz w:val="34"/>
          <w:szCs w:val="34"/>
        </w:rPr>
        <w:t>Marvin Harris</w:t>
      </w:r>
      <w:r w:rsidRPr="00924046">
        <w:rPr>
          <w:rFonts w:cs="Traditional Arabic" w:hint="cs"/>
          <w:sz w:val="34"/>
          <w:szCs w:val="34"/>
          <w:rtl/>
        </w:rPr>
        <w:t xml:space="preserve"> </w:t>
      </w:r>
      <w:r w:rsidRPr="00924046">
        <w:rPr>
          <w:rFonts w:cs="Traditional Arabic"/>
          <w:sz w:val="34"/>
          <w:szCs w:val="34"/>
        </w:rPr>
        <w:t>)</w:t>
      </w:r>
      <w:r w:rsidRPr="00924046">
        <w:rPr>
          <w:rFonts w:cs="Traditional Arabic" w:hint="cs"/>
          <w:sz w:val="34"/>
          <w:szCs w:val="34"/>
          <w:rtl/>
        </w:rPr>
        <w:t>1927-2001</w:t>
      </w:r>
      <w:r w:rsidRPr="00924046">
        <w:rPr>
          <w:rFonts w:cs="Traditional Arabic"/>
          <w:sz w:val="34"/>
          <w:szCs w:val="34"/>
        </w:rPr>
        <w:t>(</w:t>
      </w:r>
      <w:r w:rsidRPr="00924046">
        <w:rPr>
          <w:rFonts w:cs="Traditional Arabic" w:hint="cs"/>
          <w:sz w:val="34"/>
          <w:szCs w:val="34"/>
          <w:rtl/>
        </w:rPr>
        <w:t xml:space="preserve"> الذي يعتبر أحد أشهر وأكثرهم نقاشا بسبب خاصية التحول المنهجي والكاريكاتوري لمؤلفه.</w:t>
      </w:r>
    </w:p>
    <w:p w:rsidR="00155C82" w:rsidRPr="00924046" w:rsidRDefault="00155C82" w:rsidP="00155C82">
      <w:pPr>
        <w:pStyle w:val="Paragraphedeliste"/>
        <w:tabs>
          <w:tab w:val="left" w:pos="425"/>
        </w:tabs>
        <w:bidi/>
        <w:spacing w:after="0" w:line="240" w:lineRule="auto"/>
        <w:ind w:left="0"/>
        <w:jc w:val="both"/>
        <w:rPr>
          <w:rFonts w:cs="Traditional Arabic" w:hint="cs"/>
          <w:sz w:val="34"/>
          <w:szCs w:val="34"/>
          <w:rtl/>
        </w:rPr>
      </w:pPr>
      <w:r w:rsidRPr="00924046">
        <w:rPr>
          <w:rFonts w:cs="Traditional Arabic" w:hint="cs"/>
          <w:sz w:val="34"/>
          <w:szCs w:val="34"/>
          <w:rtl/>
        </w:rPr>
        <w:tab/>
        <w:t>هاريس هو أحد الباحثين النادرين الذين ادعوا تأثير الفكر الماركسي عليهم، التزم كليا بفكرة أولية البنيات التحتية ال</w:t>
      </w:r>
      <w:r>
        <w:rPr>
          <w:rFonts w:cs="Traditional Arabic" w:hint="cs"/>
          <w:sz w:val="34"/>
          <w:szCs w:val="34"/>
          <w:rtl/>
        </w:rPr>
        <w:t>اقتصادية على البنيات الفوقية الأ</w:t>
      </w:r>
      <w:r w:rsidRPr="00924046">
        <w:rPr>
          <w:rFonts w:cs="Traditional Arabic" w:hint="cs"/>
          <w:sz w:val="34"/>
          <w:szCs w:val="34"/>
          <w:rtl/>
        </w:rPr>
        <w:t>يديولوجية. على خلاف أسلافه المشهورين دفع هاريس المصادرة مع ذلك إلى حدودها القصوى جاهدا في البرهنة على أن كل نظام إنساني مهما كان، يقود في النهاية إلى آلية موجهة لإشباع حاجات ملازمة لجسم الإنسان.</w:t>
      </w:r>
    </w:p>
    <w:p w:rsidR="00155C82" w:rsidRPr="003F63A4" w:rsidRDefault="00155C82" w:rsidP="00155C82">
      <w:pPr>
        <w:pStyle w:val="Paragraphedeliste"/>
        <w:tabs>
          <w:tab w:val="left" w:pos="425"/>
        </w:tabs>
        <w:bidi/>
        <w:spacing w:after="0" w:line="240" w:lineRule="auto"/>
        <w:ind w:left="0"/>
        <w:jc w:val="both"/>
        <w:rPr>
          <w:rFonts w:cs="Traditional Arabic" w:hint="cs"/>
          <w:sz w:val="34"/>
          <w:szCs w:val="34"/>
          <w:rtl/>
        </w:rPr>
      </w:pPr>
      <w:r w:rsidRPr="00924046">
        <w:rPr>
          <w:rFonts w:cs="Traditional Arabic" w:hint="cs"/>
          <w:sz w:val="34"/>
          <w:szCs w:val="34"/>
          <w:rtl/>
        </w:rPr>
        <w:tab/>
      </w:r>
      <w:r w:rsidRPr="00892564">
        <w:rPr>
          <w:rFonts w:cs="Traditional Arabic" w:hint="cs"/>
          <w:sz w:val="34"/>
          <w:szCs w:val="34"/>
          <w:rtl/>
        </w:rPr>
        <w:t xml:space="preserve">كتابه الأكثر شهرة </w:t>
      </w:r>
      <w:r w:rsidRPr="00892564">
        <w:rPr>
          <w:rFonts w:cs="Traditional Arabic"/>
          <w:sz w:val="34"/>
          <w:szCs w:val="34"/>
        </w:rPr>
        <w:t>Cannibales et Monarques. Essai sur l'origine des cultures</w:t>
      </w:r>
      <w:r w:rsidRPr="00892564">
        <w:rPr>
          <w:rFonts w:cs="Traditional Arabic" w:hint="cs"/>
          <w:sz w:val="34"/>
          <w:szCs w:val="34"/>
          <w:rtl/>
        </w:rPr>
        <w:t xml:space="preserve"> وهو مجموعة مقالات مخصصة للبرهنة على أن</w:t>
      </w:r>
      <w:r w:rsidRPr="00924046">
        <w:rPr>
          <w:rFonts w:cs="Traditional Arabic" w:hint="cs"/>
          <w:sz w:val="34"/>
          <w:szCs w:val="34"/>
          <w:rtl/>
        </w:rPr>
        <w:t xml:space="preserve">ه في ضوء المادية الثقافية حتى الممارسات والمعتقدات الغريبة التي تبدو للوهلة الأولى غامضة تظهر في النهاية وبجلاء معقولة من وجهة النظر </w:t>
      </w:r>
      <w:r w:rsidRPr="00924046">
        <w:rPr>
          <w:rFonts w:cs="Traditional Arabic" w:hint="cs"/>
          <w:sz w:val="34"/>
          <w:szCs w:val="34"/>
          <w:rtl/>
        </w:rPr>
        <w:lastRenderedPageBreak/>
        <w:t xml:space="preserve">البيولوجية، </w:t>
      </w:r>
      <w:r w:rsidRPr="003F63A4">
        <w:rPr>
          <w:rFonts w:cs="Traditional Arabic" w:hint="cs"/>
          <w:sz w:val="34"/>
          <w:szCs w:val="34"/>
          <w:rtl/>
        </w:rPr>
        <w:t>الأمر إذن يتعلق بأخذ الظواهر التي تنم عن مفارقة لاسعة، ومحاولة حلها من خلال تحديث منطق تعظيم الميزات  التي يفترض أنها كامنة، والتي توجد في العمل.</w:t>
      </w:r>
    </w:p>
    <w:p w:rsidR="00155C82" w:rsidRPr="00924046" w:rsidRDefault="00155C82" w:rsidP="00155C82">
      <w:pPr>
        <w:pStyle w:val="Paragraphedeliste"/>
        <w:tabs>
          <w:tab w:val="left" w:pos="425"/>
        </w:tabs>
        <w:bidi/>
        <w:spacing w:after="0" w:line="240" w:lineRule="auto"/>
        <w:ind w:left="0" w:firstLine="565"/>
        <w:jc w:val="both"/>
        <w:rPr>
          <w:rFonts w:cs="Traditional Arabic" w:hint="cs"/>
          <w:sz w:val="34"/>
          <w:szCs w:val="34"/>
          <w:rtl/>
        </w:rPr>
      </w:pPr>
      <w:r w:rsidRPr="003F63A4">
        <w:rPr>
          <w:rFonts w:cs="Traditional Arabic" w:hint="cs"/>
          <w:sz w:val="34"/>
          <w:szCs w:val="34"/>
          <w:rtl/>
        </w:rPr>
        <w:t>هكذا فإن نظام البقرة المقدسة التي يحرم</w:t>
      </w:r>
      <w:r w:rsidRPr="00924046">
        <w:rPr>
          <w:rFonts w:cs="Traditional Arabic" w:hint="cs"/>
          <w:sz w:val="34"/>
          <w:szCs w:val="34"/>
          <w:rtl/>
        </w:rPr>
        <w:t xml:space="preserve"> أكلها في الهند مع أن هناك فترات من المجاعة يفسر بالفائدة العالمية لروث وحليب تلك الحيوانات التي تترك حية، ظواهر أخرى متنوعة مثل الأضحية لدى الأزتيك، قتل الفتيات الصغيرات عند شعب الياهومامي أو بالإضافة إلى تحريم لحم الخنزير في الشرق الأوسط. كل تلك الظواهر تفسر على أنها مبادئ بيئية في القيم الثقافية، وعادة ما تهدف إلى زيادة البرو</w:t>
      </w:r>
      <w:r>
        <w:rPr>
          <w:rFonts w:cs="Traditional Arabic" w:hint="cs"/>
          <w:sz w:val="34"/>
          <w:szCs w:val="34"/>
          <w:rtl/>
        </w:rPr>
        <w:t>ت</w:t>
      </w:r>
      <w:r w:rsidRPr="00924046">
        <w:rPr>
          <w:rFonts w:cs="Traditional Arabic" w:hint="cs"/>
          <w:sz w:val="34"/>
          <w:szCs w:val="34"/>
          <w:rtl/>
        </w:rPr>
        <w:t xml:space="preserve">ين. </w:t>
      </w:r>
    </w:p>
    <w:p w:rsidR="00155C82" w:rsidRPr="00924046" w:rsidRDefault="00155C82" w:rsidP="00155C82">
      <w:pPr>
        <w:pStyle w:val="Paragraphedeliste"/>
        <w:tabs>
          <w:tab w:val="left" w:pos="425"/>
        </w:tabs>
        <w:bidi/>
        <w:spacing w:after="0" w:line="240" w:lineRule="auto"/>
        <w:ind w:left="0"/>
        <w:jc w:val="both"/>
        <w:rPr>
          <w:rFonts w:cs="Traditional Arabic" w:hint="cs"/>
          <w:sz w:val="34"/>
          <w:szCs w:val="34"/>
          <w:rtl/>
        </w:rPr>
      </w:pPr>
      <w:r w:rsidRPr="00924046">
        <w:rPr>
          <w:rFonts w:cs="Traditional Arabic" w:hint="cs"/>
          <w:sz w:val="34"/>
          <w:szCs w:val="34"/>
          <w:rtl/>
        </w:rPr>
        <w:tab/>
        <w:t>بالرغم من (أو ربما بسبب) خاصيتها التبسيطية فإن أفكار هاريس اكتسبت جمهورًا عريضا في الولايات المتحدة، الأيكولووجيا التخمينية التي استندت إليها بلغت مع ذلك مستوى من التجريد والعمومية إلى درجة أنها آلت إلى فقدان خاصيتها التفسيرية الجادة.</w:t>
      </w:r>
    </w:p>
    <w:p w:rsidR="00155C82" w:rsidRPr="00924046" w:rsidRDefault="00155C82" w:rsidP="00155C82">
      <w:pPr>
        <w:pStyle w:val="Corpsdetexte"/>
        <w:bidi/>
        <w:spacing w:line="240" w:lineRule="auto"/>
        <w:ind w:firstLine="565"/>
        <w:jc w:val="both"/>
        <w:rPr>
          <w:rFonts w:cs="Traditional Arabic" w:hint="cs"/>
          <w:sz w:val="34"/>
          <w:szCs w:val="34"/>
          <w:rtl/>
        </w:rPr>
      </w:pPr>
      <w:r>
        <w:rPr>
          <w:rFonts w:cs="Traditional Arabic" w:hint="cs"/>
          <w:b/>
          <w:bCs/>
          <w:sz w:val="34"/>
          <w:szCs w:val="34"/>
          <w:rtl/>
        </w:rPr>
        <w:t>3-4-2-</w:t>
      </w:r>
      <w:r w:rsidRPr="00924046">
        <w:rPr>
          <w:rFonts w:cs="Traditional Arabic" w:hint="cs"/>
          <w:b/>
          <w:bCs/>
          <w:sz w:val="34"/>
          <w:szCs w:val="34"/>
          <w:rtl/>
        </w:rPr>
        <w:t xml:space="preserve">السوسيوبيولوجيا: </w:t>
      </w:r>
      <w:r w:rsidRPr="00924046">
        <w:rPr>
          <w:rFonts w:cs="Traditional Arabic" w:hint="cs"/>
          <w:sz w:val="34"/>
          <w:szCs w:val="34"/>
          <w:rtl/>
        </w:rPr>
        <w:t xml:space="preserve">مؤسس السوسيوبيولوجيا إدوارد ويلسون المتخصص في دراسة النمل </w:t>
      </w:r>
      <w:r w:rsidRPr="00924046">
        <w:rPr>
          <w:rFonts w:cs="Traditional Arabic"/>
          <w:sz w:val="34"/>
          <w:szCs w:val="34"/>
        </w:rPr>
        <w:t>Myrmécologue</w:t>
      </w:r>
      <w:r w:rsidRPr="00924046">
        <w:rPr>
          <w:rFonts w:cs="Traditional Arabic" w:hint="cs"/>
          <w:sz w:val="34"/>
          <w:szCs w:val="34"/>
          <w:rtl/>
        </w:rPr>
        <w:t xml:space="preserve"> </w:t>
      </w:r>
      <w:r>
        <w:rPr>
          <w:rFonts w:cs="Traditional Arabic" w:hint="cs"/>
          <w:sz w:val="34"/>
          <w:szCs w:val="34"/>
          <w:rtl/>
        </w:rPr>
        <w:t>ي</w:t>
      </w:r>
      <w:r w:rsidRPr="00924046">
        <w:rPr>
          <w:rFonts w:cs="Traditional Arabic" w:hint="cs"/>
          <w:sz w:val="34"/>
          <w:szCs w:val="34"/>
          <w:rtl/>
        </w:rPr>
        <w:t>تقاسم مع مارفين هاريس بعض التوجه نحو النفعية الراديكالية والمادية المدفوعة إلى أقصى الحدود. باحثو هذا التيار ينطلقون من مسلمة أن سلوك البشر يجب، مثله مثل سلوك الحيوانات، أن ينظر إليه من زاوية الانتخاب الطبيعي. لقد أولوا أهمية كبيرة إلى تأثير الظواهر الثقافية على انتقال الجينات، هذا (بدلا من الثقافة) ما يكون موضوع دراستهم.</w:t>
      </w:r>
    </w:p>
    <w:p w:rsidR="00155C82" w:rsidRPr="00924046" w:rsidRDefault="00155C82" w:rsidP="00155C82">
      <w:pPr>
        <w:pStyle w:val="Corpsdetexte"/>
        <w:bidi/>
        <w:spacing w:line="240" w:lineRule="auto"/>
        <w:ind w:firstLine="565"/>
        <w:jc w:val="both"/>
        <w:rPr>
          <w:rFonts w:cs="Traditional Arabic" w:hint="cs"/>
          <w:sz w:val="34"/>
          <w:szCs w:val="34"/>
          <w:rtl/>
        </w:rPr>
      </w:pPr>
      <w:r w:rsidRPr="00924046">
        <w:rPr>
          <w:rFonts w:cs="Traditional Arabic" w:hint="cs"/>
          <w:sz w:val="34"/>
          <w:szCs w:val="34"/>
          <w:rtl/>
        </w:rPr>
        <w:t>على العكس من الأطروحات الداروينية التي بالنسبة لها الوحدة الوراثية للتكيف هي مجموعة الكائنات الحية مكونة تجمعا من أجل التكاثر. السوسيوبيولوجيا تتصور التكيف من وجهة نظر الفرد أو بالأخرى جيناته. يتعلق الأمر إذن بدراسة ما يمكن فردًا من تعظيم ميزته التكاثرية على حساب أمثاله، بدلا من الاهتمام بفائدة ما يمكن هذا السلوك أو ذاك من إضفائها إلى سلم التنافس بين أنواع أو بين جماعات.</w:t>
      </w:r>
      <w:r w:rsidRPr="00924046">
        <w:rPr>
          <w:rStyle w:val="Appelnotedebasdep"/>
          <w:rFonts w:cs="Traditional Arabic"/>
          <w:sz w:val="34"/>
          <w:szCs w:val="34"/>
          <w:rtl/>
        </w:rPr>
        <w:footnoteReference w:id="6"/>
      </w:r>
    </w:p>
    <w:p w:rsidR="005A14F8" w:rsidRDefault="005A14F8">
      <w:pPr>
        <w:rPr>
          <w:lang w:bidi="ar-DZ"/>
        </w:rPr>
      </w:pPr>
    </w:p>
    <w:sectPr w:rsidR="005A14F8" w:rsidSect="005A14F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8E8" w:rsidRDefault="000938E8" w:rsidP="00155C82">
      <w:pPr>
        <w:spacing w:after="0" w:line="240" w:lineRule="auto"/>
      </w:pPr>
      <w:r>
        <w:separator/>
      </w:r>
    </w:p>
  </w:endnote>
  <w:endnote w:type="continuationSeparator" w:id="1">
    <w:p w:rsidR="000938E8" w:rsidRDefault="000938E8" w:rsidP="00155C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PMingLiU">
    <w:altName w:val="!Ps2OcuAe"/>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8E8" w:rsidRDefault="000938E8" w:rsidP="00155C82">
      <w:pPr>
        <w:spacing w:after="0" w:line="240" w:lineRule="auto"/>
      </w:pPr>
      <w:r>
        <w:separator/>
      </w:r>
    </w:p>
  </w:footnote>
  <w:footnote w:type="continuationSeparator" w:id="1">
    <w:p w:rsidR="000938E8" w:rsidRDefault="000938E8" w:rsidP="00155C82">
      <w:pPr>
        <w:spacing w:after="0" w:line="240" w:lineRule="auto"/>
      </w:pPr>
      <w:r>
        <w:continuationSeparator/>
      </w:r>
    </w:p>
  </w:footnote>
  <w:footnote w:id="2">
    <w:p w:rsidR="00155C82" w:rsidRPr="00CE7D84" w:rsidRDefault="00155C82" w:rsidP="00155C82">
      <w:pPr>
        <w:pStyle w:val="Notedebasdepage"/>
        <w:jc w:val="both"/>
        <w:rPr>
          <w:rFonts w:cs="Traditional Arabic"/>
          <w:sz w:val="28"/>
          <w:szCs w:val="28"/>
          <w:rtl/>
          <w:lang w:bidi="ar-DZ"/>
        </w:rPr>
      </w:pPr>
      <w:r w:rsidRPr="00CE7D84">
        <w:rPr>
          <w:rStyle w:val="Appelnotedebasdep"/>
          <w:rFonts w:cs="Traditional Arabic"/>
          <w:sz w:val="28"/>
          <w:szCs w:val="28"/>
        </w:rPr>
        <w:footnoteRef/>
      </w:r>
      <w:r w:rsidRPr="00CE7D84">
        <w:rPr>
          <w:rFonts w:cs="Traditional Arabic"/>
          <w:sz w:val="28"/>
          <w:szCs w:val="28"/>
        </w:rPr>
        <w:t xml:space="preserve"> </w:t>
      </w:r>
      <w:r w:rsidRPr="00CE7D84">
        <w:rPr>
          <w:rFonts w:cs="Traditional Arabic" w:hint="cs"/>
          <w:sz w:val="28"/>
          <w:szCs w:val="28"/>
          <w:rtl/>
        </w:rPr>
        <w:t xml:space="preserve">- كليفورد بخيرتز، </w:t>
      </w:r>
      <w:r w:rsidRPr="000107F1">
        <w:rPr>
          <w:rFonts w:cs="Traditional Arabic" w:hint="cs"/>
          <w:b/>
          <w:bCs/>
          <w:sz w:val="28"/>
          <w:szCs w:val="28"/>
          <w:rtl/>
        </w:rPr>
        <w:t>تأويل الثقافة</w:t>
      </w:r>
      <w:r w:rsidRPr="00CE7D84">
        <w:rPr>
          <w:rFonts w:cs="Traditional Arabic" w:hint="cs"/>
          <w:sz w:val="28"/>
          <w:szCs w:val="28"/>
          <w:rtl/>
        </w:rPr>
        <w:t>، ترجمة محمد بدوي، المنظمة العربية للترجمة، بيروت، لبنان، ط1، 2009 ص 82.</w:t>
      </w:r>
    </w:p>
  </w:footnote>
  <w:footnote w:id="3">
    <w:p w:rsidR="00155C82" w:rsidRPr="00CE7D84" w:rsidRDefault="00155C82" w:rsidP="00155C82">
      <w:pPr>
        <w:pStyle w:val="Notedebasdepage"/>
        <w:jc w:val="both"/>
        <w:rPr>
          <w:rFonts w:cs="Traditional Arabic"/>
          <w:sz w:val="28"/>
          <w:szCs w:val="28"/>
          <w:rtl/>
          <w:lang w:bidi="ar-DZ"/>
        </w:rPr>
      </w:pPr>
      <w:r w:rsidRPr="00CE7D84">
        <w:rPr>
          <w:rStyle w:val="Appelnotedebasdep"/>
          <w:rFonts w:cs="Traditional Arabic"/>
          <w:sz w:val="28"/>
          <w:szCs w:val="28"/>
        </w:rPr>
        <w:footnoteRef/>
      </w:r>
      <w:r w:rsidRPr="00CE7D84">
        <w:rPr>
          <w:rFonts w:cs="Traditional Arabic"/>
          <w:sz w:val="28"/>
          <w:szCs w:val="28"/>
        </w:rPr>
        <w:t xml:space="preserve"> </w:t>
      </w:r>
      <w:r w:rsidRPr="00CE7D84">
        <w:rPr>
          <w:rFonts w:cs="Traditional Arabic" w:hint="cs"/>
          <w:sz w:val="28"/>
          <w:szCs w:val="28"/>
          <w:rtl/>
        </w:rPr>
        <w:t xml:space="preserve">- السيد حافظ السود، </w:t>
      </w:r>
      <w:r w:rsidRPr="00901AB4">
        <w:rPr>
          <w:rFonts w:cs="Traditional Arabic" w:hint="cs"/>
          <w:b/>
          <w:bCs/>
          <w:sz w:val="28"/>
          <w:szCs w:val="28"/>
          <w:rtl/>
        </w:rPr>
        <w:t>الانتروبولوجيا الرمزية</w:t>
      </w:r>
      <w:r w:rsidRPr="00CE7D84">
        <w:rPr>
          <w:rFonts w:cs="Traditional Arabic" w:hint="cs"/>
          <w:sz w:val="28"/>
          <w:szCs w:val="28"/>
          <w:rtl/>
        </w:rPr>
        <w:t>، منشأة المعارف بالأسكندرية، مصر، ط1، 2002 ص 115- 116.</w:t>
      </w:r>
    </w:p>
  </w:footnote>
  <w:footnote w:id="4">
    <w:p w:rsidR="00155C82" w:rsidRPr="00CE7D84" w:rsidRDefault="00155C82" w:rsidP="00155C82">
      <w:pPr>
        <w:pStyle w:val="Notedebasdepage"/>
        <w:jc w:val="both"/>
        <w:rPr>
          <w:rFonts w:cs="Traditional Arabic"/>
          <w:sz w:val="28"/>
          <w:szCs w:val="28"/>
          <w:rtl/>
          <w:lang w:bidi="ar-DZ"/>
        </w:rPr>
      </w:pPr>
      <w:r w:rsidRPr="00CE7D84">
        <w:rPr>
          <w:rStyle w:val="Appelnotedebasdep"/>
          <w:rFonts w:cs="Traditional Arabic"/>
          <w:sz w:val="28"/>
          <w:szCs w:val="28"/>
        </w:rPr>
        <w:footnoteRef/>
      </w:r>
      <w:r w:rsidRPr="00CE7D84">
        <w:rPr>
          <w:rFonts w:cs="Traditional Arabic"/>
          <w:sz w:val="28"/>
          <w:szCs w:val="28"/>
        </w:rPr>
        <w:t xml:space="preserve"> </w:t>
      </w:r>
      <w:r w:rsidRPr="00CE7D84">
        <w:rPr>
          <w:rFonts w:cs="Traditional Arabic" w:hint="cs"/>
          <w:sz w:val="28"/>
          <w:szCs w:val="28"/>
          <w:rtl/>
        </w:rPr>
        <w:t>- المرجع نفسه، ص119- 120.</w:t>
      </w:r>
    </w:p>
  </w:footnote>
  <w:footnote w:id="5">
    <w:p w:rsidR="00155C82" w:rsidRPr="00133F44" w:rsidRDefault="00155C82" w:rsidP="00155C82">
      <w:pPr>
        <w:pStyle w:val="Notedebasdepage"/>
        <w:rPr>
          <w:sz w:val="24"/>
          <w:szCs w:val="24"/>
          <w:rtl/>
          <w:lang w:bidi="ar-DZ"/>
        </w:rPr>
      </w:pPr>
      <w:r>
        <w:rPr>
          <w:rStyle w:val="Appelnotedebasdep"/>
        </w:rPr>
        <w:footnoteRef/>
      </w:r>
      <w:r>
        <w:t xml:space="preserve"> </w:t>
      </w:r>
      <w:r>
        <w:rPr>
          <w:rFonts w:hint="cs"/>
          <w:rtl/>
          <w:lang w:bidi="ar-DZ"/>
        </w:rPr>
        <w:t xml:space="preserve">- </w:t>
      </w:r>
      <w:r w:rsidRPr="00133F44">
        <w:rPr>
          <w:rFonts w:hint="cs"/>
          <w:sz w:val="24"/>
          <w:szCs w:val="24"/>
          <w:rtl/>
          <w:lang w:bidi="ar-DZ"/>
        </w:rPr>
        <w:t>حسين فه</w:t>
      </w:r>
      <w:r>
        <w:rPr>
          <w:rFonts w:hint="cs"/>
          <w:sz w:val="24"/>
          <w:szCs w:val="24"/>
          <w:rtl/>
          <w:lang w:bidi="ar-DZ"/>
        </w:rPr>
        <w:t>ي</w:t>
      </w:r>
      <w:r w:rsidRPr="00133F44">
        <w:rPr>
          <w:rFonts w:hint="cs"/>
          <w:sz w:val="24"/>
          <w:szCs w:val="24"/>
          <w:rtl/>
          <w:lang w:bidi="ar-DZ"/>
        </w:rPr>
        <w:t xml:space="preserve">م، </w:t>
      </w:r>
      <w:r w:rsidRPr="00133F44">
        <w:rPr>
          <w:rFonts w:hint="cs"/>
          <w:b/>
          <w:bCs/>
          <w:sz w:val="24"/>
          <w:szCs w:val="24"/>
          <w:rtl/>
          <w:lang w:bidi="ar-DZ"/>
        </w:rPr>
        <w:t>قصة الأنثروبولوجيا</w:t>
      </w:r>
      <w:r w:rsidRPr="00133F44">
        <w:rPr>
          <w:rFonts w:hint="cs"/>
          <w:sz w:val="24"/>
          <w:szCs w:val="24"/>
          <w:rtl/>
          <w:lang w:bidi="ar-DZ"/>
        </w:rPr>
        <w:t>، مرجع سابق، ص-ص: 80-81.</w:t>
      </w:r>
    </w:p>
  </w:footnote>
  <w:footnote w:id="6">
    <w:p w:rsidR="00155C82" w:rsidRPr="00CA5D0F" w:rsidRDefault="00155C82" w:rsidP="00155C82">
      <w:pPr>
        <w:pStyle w:val="Notedebasdepage"/>
        <w:rPr>
          <w:rFonts w:cs="Traditional Arabic" w:hint="cs"/>
          <w:sz w:val="28"/>
          <w:szCs w:val="28"/>
          <w:rtl/>
        </w:rPr>
      </w:pPr>
      <w:r w:rsidRPr="00CA5D0F">
        <w:rPr>
          <w:rStyle w:val="Appelnotedebasdep"/>
          <w:rFonts w:cs="Traditional Arabic"/>
          <w:sz w:val="28"/>
          <w:szCs w:val="28"/>
        </w:rPr>
        <w:footnoteRef/>
      </w:r>
      <w:r w:rsidRPr="00744295">
        <w:rPr>
          <w:rFonts w:cs="Traditional Arabic"/>
          <w:sz w:val="28"/>
          <w:szCs w:val="28"/>
          <w:lang w:val="en-US"/>
        </w:rPr>
        <w:t xml:space="preserve"> -</w:t>
      </w:r>
      <w:r w:rsidRPr="0031534A">
        <w:rPr>
          <w:rFonts w:cs="Traditional Arabic"/>
          <w:b/>
          <w:bCs/>
          <w:sz w:val="28"/>
          <w:szCs w:val="28"/>
          <w:lang w:val="en-US"/>
        </w:rPr>
        <w:t>Ibid</w:t>
      </w:r>
      <w:r>
        <w:rPr>
          <w:rFonts w:cs="Traditional Arabic" w:hint="cs"/>
          <w:b/>
          <w:bCs/>
          <w:sz w:val="28"/>
          <w:szCs w:val="28"/>
          <w:rtl/>
          <w:lang w:val="en-US"/>
        </w:rPr>
        <w:t>.</w:t>
      </w:r>
      <w:r w:rsidRPr="00744295">
        <w:rPr>
          <w:rFonts w:cs="Traditional Arabic"/>
          <w:sz w:val="28"/>
          <w:szCs w:val="28"/>
          <w:lang w:val="en-US"/>
        </w:rPr>
        <w:t>, p. 123.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155C82"/>
    <w:rsid w:val="000938E8"/>
    <w:rsid w:val="00155C82"/>
    <w:rsid w:val="005A14F8"/>
  </w:rsids>
  <m:mathPr>
    <m:mathFont m:val="Cambria Math"/>
    <m:brkBin m:val="before"/>
    <m:brkBinSub m:val="--"/>
    <m:smallFrac m:val="off"/>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C82"/>
    <w:rPr>
      <w:rFonts w:eastAsiaTheme="minorHAns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55C82"/>
    <w:pPr>
      <w:bidi/>
      <w:spacing w:after="0" w:line="240" w:lineRule="auto"/>
    </w:pPr>
    <w:rPr>
      <w:rFonts w:ascii="Calibri" w:eastAsia="Calibri" w:hAnsi="Calibri" w:cs="Arial"/>
      <w:sz w:val="20"/>
      <w:szCs w:val="20"/>
    </w:rPr>
  </w:style>
  <w:style w:type="character" w:customStyle="1" w:styleId="NotedebasdepageCar">
    <w:name w:val="Note de bas de page Car"/>
    <w:basedOn w:val="Policepardfaut"/>
    <w:link w:val="Notedebasdepage"/>
    <w:uiPriority w:val="99"/>
    <w:rsid w:val="00155C82"/>
    <w:rPr>
      <w:rFonts w:ascii="Calibri" w:eastAsia="Calibri" w:hAnsi="Calibri" w:cs="Arial"/>
      <w:sz w:val="20"/>
      <w:szCs w:val="20"/>
      <w:lang w:eastAsia="en-US"/>
    </w:rPr>
  </w:style>
  <w:style w:type="character" w:styleId="Appelnotedebasdep">
    <w:name w:val="footnote reference"/>
    <w:basedOn w:val="Policepardfaut"/>
    <w:uiPriority w:val="99"/>
    <w:semiHidden/>
    <w:unhideWhenUsed/>
    <w:rsid w:val="00155C82"/>
    <w:rPr>
      <w:vertAlign w:val="superscript"/>
    </w:rPr>
  </w:style>
  <w:style w:type="paragraph" w:styleId="Paragraphedeliste">
    <w:name w:val="List Paragraph"/>
    <w:basedOn w:val="Normal"/>
    <w:uiPriority w:val="34"/>
    <w:qFormat/>
    <w:rsid w:val="00155C82"/>
    <w:pPr>
      <w:ind w:left="720"/>
      <w:contextualSpacing/>
    </w:pPr>
    <w:rPr>
      <w:rFonts w:ascii="Calibri" w:eastAsia="PMingLiU" w:hAnsi="Calibri" w:cs="Arial"/>
      <w:lang w:bidi="ar-DZ"/>
    </w:rPr>
  </w:style>
  <w:style w:type="paragraph" w:styleId="Corpsdetexte">
    <w:name w:val="Body Text"/>
    <w:basedOn w:val="Normal"/>
    <w:link w:val="CorpsdetexteCar"/>
    <w:uiPriority w:val="99"/>
    <w:unhideWhenUsed/>
    <w:rsid w:val="00155C82"/>
    <w:pPr>
      <w:spacing w:after="120"/>
    </w:pPr>
    <w:rPr>
      <w:rFonts w:ascii="Calibri" w:eastAsia="PMingLiU" w:hAnsi="Calibri" w:cs="Arial"/>
      <w:lang w:bidi="ar-DZ"/>
    </w:rPr>
  </w:style>
  <w:style w:type="character" w:customStyle="1" w:styleId="CorpsdetexteCar">
    <w:name w:val="Corps de texte Car"/>
    <w:basedOn w:val="Policepardfaut"/>
    <w:link w:val="Corpsdetexte"/>
    <w:uiPriority w:val="99"/>
    <w:rsid w:val="00155C82"/>
    <w:rPr>
      <w:rFonts w:ascii="Calibri" w:eastAsia="PMingLiU" w:hAnsi="Calibri" w:cs="Arial"/>
      <w:lang w:eastAsia="en-US"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2430</Words>
  <Characters>13367</Characters>
  <Application>Microsoft Office Word</Application>
  <DocSecurity>0</DocSecurity>
  <Lines>111</Lines>
  <Paragraphs>31</Paragraphs>
  <ScaleCrop>false</ScaleCrop>
  <Company/>
  <LinksUpToDate>false</LinksUpToDate>
  <CharactersWithSpaces>15766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dc:creator>
  <cp:lastModifiedBy>aze</cp:lastModifiedBy>
  <cp:revision>1</cp:revision>
  <dcterms:created xsi:type="dcterms:W3CDTF">2020-03-28T11:14:00Z</dcterms:created>
  <dcterms:modified xsi:type="dcterms:W3CDTF">2020-03-28T11:23:00Z</dcterms:modified>
</cp:coreProperties>
</file>