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4D" w:rsidRPr="00720619" w:rsidRDefault="00BC3E4D" w:rsidP="00BC3E4D">
      <w:pPr>
        <w:shd w:val="clear" w:color="auto" w:fill="FFFFFF"/>
        <w:spacing w:after="0" w:line="240" w:lineRule="auto"/>
        <w:rPr>
          <w:rFonts w:ascii="Lucida Console" w:eastAsia="Times New Roman" w:hAnsi="Lucida Console" w:cs="Helvetica"/>
          <w:color w:val="000000"/>
          <w:sz w:val="24"/>
          <w:szCs w:val="24"/>
        </w:rPr>
      </w:pPr>
      <w:bookmarkStart w:id="0" w:name="_GoBack"/>
      <w:bookmarkEnd w:id="0"/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 xml:space="preserve">Libellé de l’UE : Unité de l’Enseignement Fondamentale 2 </w:t>
      </w:r>
    </w:p>
    <w:p w:rsidR="00BC3E4D" w:rsidRPr="00720619" w:rsidRDefault="00BC3E4D" w:rsidP="00BC3E4D">
      <w:pPr>
        <w:shd w:val="clear" w:color="auto" w:fill="FFFFFF"/>
        <w:spacing w:after="0" w:line="240" w:lineRule="auto"/>
        <w:rPr>
          <w:rFonts w:ascii="Lucida Console" w:eastAsia="Times New Roman" w:hAnsi="Lucida Console" w:cs="Helvetica"/>
          <w:color w:val="000000"/>
          <w:sz w:val="24"/>
          <w:szCs w:val="24"/>
        </w:rPr>
      </w:pPr>
      <w:r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Master</w:t>
      </w: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 xml:space="preserve"> : </w:t>
      </w:r>
      <w:r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Protection des végétaux</w:t>
      </w:r>
    </w:p>
    <w:p w:rsidR="00BC3E4D" w:rsidRPr="00720619" w:rsidRDefault="00BC3E4D" w:rsidP="00BC3E4D">
      <w:pPr>
        <w:shd w:val="clear" w:color="auto" w:fill="FFFFFF"/>
        <w:spacing w:after="0" w:line="240" w:lineRule="auto"/>
        <w:rPr>
          <w:rFonts w:ascii="Lucida Console" w:eastAsia="Times New Roman" w:hAnsi="Lucida Console" w:cs="Helvetica"/>
          <w:color w:val="000000"/>
          <w:sz w:val="24"/>
          <w:szCs w:val="24"/>
        </w:rPr>
      </w:pPr>
      <w:r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Intitulé de la matière</w:t>
      </w: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 xml:space="preserve"> :</w:t>
      </w:r>
      <w:r w:rsidRPr="00720619">
        <w:rPr>
          <w:rFonts w:ascii="Lucida Console" w:eastAsia="Times New Roman" w:hAnsi="Lucida Console" w:cs="Helvetica"/>
          <w:color w:val="000000"/>
          <w:sz w:val="24"/>
          <w:szCs w:val="24"/>
        </w:rPr>
        <w:t xml:space="preserve"> </w:t>
      </w:r>
      <w:r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Ecotoxicologie et analyse des résidus</w:t>
      </w:r>
    </w:p>
    <w:p w:rsidR="00BC3E4D" w:rsidRPr="00720619" w:rsidRDefault="00BC3E4D" w:rsidP="00BC3E4D">
      <w:pPr>
        <w:shd w:val="clear" w:color="auto" w:fill="FFFFFF"/>
        <w:spacing w:line="240" w:lineRule="auto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Semestre :</w:t>
      </w:r>
      <w:r w:rsidRPr="00720619">
        <w:rPr>
          <w:rFonts w:ascii="Lucida Console" w:eastAsia="Times New Roman" w:hAnsi="Lucida Console" w:cs="Helvetica"/>
          <w:color w:val="000000"/>
          <w:sz w:val="24"/>
          <w:szCs w:val="24"/>
        </w:rPr>
        <w:t xml:space="preserve"> 2  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074"/>
      </w:tblGrid>
      <w:tr w:rsidR="00BC3E4D" w:rsidRPr="00720619" w:rsidTr="008D541B"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>Répartition du volume horaire global de l’UE et de ses matières</w:t>
            </w:r>
          </w:p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> </w:t>
            </w:r>
          </w:p>
        </w:tc>
        <w:tc>
          <w:tcPr>
            <w:tcW w:w="5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>Cours : 1,5</w:t>
            </w:r>
          </w:p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>TD : 1,5</w:t>
            </w:r>
          </w:p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>TP: /</w:t>
            </w:r>
          </w:p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</w:tr>
      <w:tr w:rsidR="00BC3E4D" w:rsidRPr="00720619" w:rsidTr="008D541B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>Crédits et coefficients affectés à l’UE et à ses matières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b/>
                <w:bCs/>
                <w:color w:val="000000"/>
                <w:sz w:val="20"/>
              </w:rPr>
              <w:t>UE :   UEF2S2           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</w:rPr>
              <w:t>                     crédits : 4</w:t>
            </w:r>
          </w:p>
          <w:p w:rsidR="00BC3E4D" w:rsidRPr="00720619" w:rsidRDefault="00BC3E4D" w:rsidP="00BC3E4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 xml:space="preserve">Matière 1: </w:t>
            </w:r>
            <w:r>
              <w:rPr>
                <w:rFonts w:ascii="Helvetica" w:eastAsia="Times New Roman" w:hAnsi="Helvetica" w:cs="Helvetica"/>
                <w:color w:val="000000"/>
                <w:sz w:val="20"/>
                <w:u w:val="single"/>
              </w:rPr>
              <w:t>Ecotoxicologie et analyse des résidus</w:t>
            </w:r>
          </w:p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 xml:space="preserve">Crédits : 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</w:rPr>
              <w:t>4</w:t>
            </w:r>
          </w:p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>Coefficient :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</w:rPr>
              <w:t xml:space="preserve"> 2</w:t>
            </w:r>
          </w:p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> </w:t>
            </w:r>
          </w:p>
        </w:tc>
      </w:tr>
      <w:tr w:rsidR="00BC3E4D" w:rsidRPr="00720619" w:rsidTr="008D541B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E4D" w:rsidRPr="00720619" w:rsidRDefault="00BC3E4D" w:rsidP="008D541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</w:rPr>
              <w:t xml:space="preserve">Mode d'évaluation 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E4D" w:rsidRPr="00720619" w:rsidRDefault="00BC3E4D" w:rsidP="008D541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0619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Contrôle continu 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(02</w:t>
            </w:r>
            <w:r w:rsidRPr="00720619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), Épreuve de Synthèse</w:t>
            </w:r>
          </w:p>
        </w:tc>
      </w:tr>
    </w:tbl>
    <w:p w:rsidR="00BC3E4D" w:rsidRPr="00720619" w:rsidRDefault="00BC3E4D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</w:p>
    <w:p w:rsidR="00BC3E4D" w:rsidRPr="00720619" w:rsidRDefault="00BC3E4D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Objectifs de l’enseignement</w:t>
      </w:r>
      <w:r w:rsidRPr="00720619">
        <w:rPr>
          <w:rFonts w:ascii="Lucida Console" w:eastAsia="Times New Roman" w:hAnsi="Lucida Console" w:cs="Helvetica"/>
          <w:color w:val="000000"/>
          <w:sz w:val="24"/>
          <w:szCs w:val="24"/>
        </w:rPr>
        <w:t xml:space="preserve"> : </w:t>
      </w:r>
    </w:p>
    <w:p w:rsidR="00BC3E4D" w:rsidRPr="00720619" w:rsidRDefault="00BC3E4D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L’Ecotoxicologie doit permettre d’appréhender un monde vivant dans l’ensemble de ses mécanismes profonds, de ses régulations et de ses relations avec le milieu. Par ailleurs, parmi les sources de pollution , l’utilisation intensive des produits phytosanitaires, constitue de loin la source potentielle des pollutions qui mérite une connaissance et une approche analytique des substances persistantes dans le milieu c'est-à-dire, des résidus.  </w:t>
      </w:r>
    </w:p>
    <w:p w:rsidR="00BC3E4D" w:rsidRPr="00720619" w:rsidRDefault="00BC3E4D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Connaissances préalables recommandées :</w:t>
      </w:r>
    </w:p>
    <w:p w:rsidR="00BC3E4D" w:rsidRPr="00720619" w:rsidRDefault="00362CDC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>
        <w:rPr>
          <w:rFonts w:ascii="Lucida Console" w:eastAsia="Times New Roman" w:hAnsi="Lucida Console" w:cs="Helvetica"/>
          <w:color w:val="000000"/>
          <w:sz w:val="24"/>
          <w:szCs w:val="24"/>
        </w:rPr>
        <w:t xml:space="preserve">Les connaissances acquises auparavant, notamment en matière d’ecologie, phytopharmacie, pédologie, et agro-météorologie. </w:t>
      </w:r>
      <w:r w:rsidR="00BC3E4D" w:rsidRPr="00720619">
        <w:rPr>
          <w:rFonts w:ascii="Lucida Console" w:eastAsia="Times New Roman" w:hAnsi="Lucida Console" w:cs="Helvetica"/>
          <w:color w:val="000000"/>
          <w:sz w:val="24"/>
          <w:szCs w:val="24"/>
        </w:rPr>
        <w:t>.</w:t>
      </w:r>
    </w:p>
    <w:p w:rsidR="00BC3E4D" w:rsidRPr="00720619" w:rsidRDefault="00BC3E4D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Contenu de la matière : </w:t>
      </w:r>
    </w:p>
    <w:p w:rsidR="00BC3E4D" w:rsidRPr="00AD4AEE" w:rsidRDefault="00AD4AEE" w:rsidP="00AD4AEE">
      <w:pPr>
        <w:shd w:val="clear" w:color="auto" w:fill="FFFFFF"/>
        <w:spacing w:after="0" w:line="280" w:lineRule="atLeast"/>
        <w:rPr>
          <w:rFonts w:ascii="Lucida Console" w:eastAsia="Times New Roman" w:hAnsi="Lucida Console" w:cs="Arial"/>
          <w:b/>
          <w:bCs/>
          <w:color w:val="000000"/>
          <w:sz w:val="24"/>
          <w:szCs w:val="24"/>
        </w:rPr>
      </w:pPr>
      <w:r w:rsidRPr="00AD4AEE">
        <w:rPr>
          <w:rFonts w:ascii="Lucida Console" w:eastAsia="Times New Roman" w:hAnsi="Lucida Console" w:cs="Arial"/>
          <w:b/>
          <w:bCs/>
          <w:color w:val="000000"/>
          <w:sz w:val="24"/>
          <w:szCs w:val="24"/>
        </w:rPr>
        <w:t>Chapitre 1 : Notions de toxicité</w:t>
      </w:r>
    </w:p>
    <w:p w:rsidR="00AD4AEE" w:rsidRPr="00AD4AEE" w:rsidRDefault="00AD4AEE" w:rsidP="00AD4AEE">
      <w:pPr>
        <w:pStyle w:val="Paragraphedeliste"/>
        <w:numPr>
          <w:ilvl w:val="1"/>
          <w:numId w:val="1"/>
        </w:numPr>
        <w:shd w:val="clear" w:color="auto" w:fill="FFFFFF"/>
        <w:spacing w:after="0" w:line="28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D4AEE">
        <w:rPr>
          <w:rFonts w:ascii="Arial" w:eastAsia="Times New Roman" w:hAnsi="Arial" w:cs="Arial"/>
          <w:color w:val="000000"/>
          <w:sz w:val="24"/>
          <w:szCs w:val="24"/>
        </w:rPr>
        <w:t>Définitions</w:t>
      </w:r>
    </w:p>
    <w:p w:rsidR="00AD4AEE" w:rsidRDefault="00AD4AEE" w:rsidP="00AD4AEE">
      <w:pPr>
        <w:pStyle w:val="Paragraphedeliste"/>
        <w:numPr>
          <w:ilvl w:val="1"/>
          <w:numId w:val="1"/>
        </w:numPr>
        <w:shd w:val="clear" w:color="auto" w:fill="FFFFFF"/>
        <w:spacing w:after="0" w:line="280" w:lineRule="atLeast"/>
        <w:rPr>
          <w:rFonts w:ascii="Lucida Console" w:eastAsia="Times New Roman" w:hAnsi="Lucida Console" w:cs="Helvetica"/>
          <w:color w:val="000000"/>
          <w:sz w:val="24"/>
          <w:szCs w:val="24"/>
        </w:rPr>
      </w:pPr>
      <w:r>
        <w:rPr>
          <w:rFonts w:ascii="Lucida Console" w:eastAsia="Times New Roman" w:hAnsi="Lucida Console" w:cs="Helvetica"/>
          <w:color w:val="000000"/>
          <w:sz w:val="24"/>
          <w:szCs w:val="24"/>
        </w:rPr>
        <w:t>Mode de pénétration des substances</w:t>
      </w:r>
    </w:p>
    <w:p w:rsidR="00AD4AEE" w:rsidRDefault="00AD4AEE" w:rsidP="00AD4AEE">
      <w:pPr>
        <w:pStyle w:val="Paragraphedeliste"/>
        <w:numPr>
          <w:ilvl w:val="1"/>
          <w:numId w:val="1"/>
        </w:numPr>
        <w:shd w:val="clear" w:color="auto" w:fill="FFFFFF"/>
        <w:spacing w:after="0" w:line="280" w:lineRule="atLeast"/>
        <w:rPr>
          <w:rFonts w:ascii="Lucida Console" w:eastAsia="Times New Roman" w:hAnsi="Lucida Console" w:cs="Helvetica"/>
          <w:color w:val="000000"/>
          <w:sz w:val="24"/>
          <w:szCs w:val="24"/>
        </w:rPr>
      </w:pPr>
      <w:r>
        <w:rPr>
          <w:rFonts w:ascii="Lucida Console" w:eastAsia="Times New Roman" w:hAnsi="Lucida Console" w:cs="Helvetica"/>
          <w:color w:val="000000"/>
          <w:sz w:val="24"/>
          <w:szCs w:val="24"/>
        </w:rPr>
        <w:t>Différentes phases d’action d’une substance toxique</w:t>
      </w:r>
    </w:p>
    <w:p w:rsidR="00AD4AEE" w:rsidRPr="00AD4AEE" w:rsidRDefault="00AD4AEE" w:rsidP="00AD4AEE">
      <w:pPr>
        <w:pStyle w:val="Paragraphedeliste"/>
        <w:numPr>
          <w:ilvl w:val="1"/>
          <w:numId w:val="1"/>
        </w:numPr>
        <w:shd w:val="clear" w:color="auto" w:fill="FFFFFF"/>
        <w:spacing w:after="0" w:line="280" w:lineRule="atLeast"/>
        <w:rPr>
          <w:rFonts w:ascii="Lucida Console" w:eastAsia="Times New Roman" w:hAnsi="Lucida Console" w:cs="Helvetica"/>
          <w:color w:val="000000"/>
          <w:sz w:val="24"/>
          <w:szCs w:val="24"/>
        </w:rPr>
      </w:pPr>
      <w:r>
        <w:rPr>
          <w:rFonts w:ascii="Lucida Console" w:eastAsia="Times New Roman" w:hAnsi="Lucida Console" w:cs="Helvetica"/>
          <w:color w:val="000000"/>
          <w:sz w:val="24"/>
          <w:szCs w:val="24"/>
        </w:rPr>
        <w:t>Manifestations de la toxicité</w:t>
      </w:r>
    </w:p>
    <w:p w:rsidR="00BC3E4D" w:rsidRDefault="00BC3E4D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</w:pP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 </w:t>
      </w:r>
    </w:p>
    <w:p w:rsidR="00AD4AEE" w:rsidRDefault="00AD4AEE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</w:pPr>
      <w:r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Chapitre 2 : Relation dose- Effets</w:t>
      </w:r>
    </w:p>
    <w:p w:rsidR="00AD4AEE" w:rsidRPr="00AD4AEE" w:rsidRDefault="00AD4AEE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AE7706">
        <w:rPr>
          <w:rFonts w:ascii="Lucida Console" w:eastAsia="Times New Roman" w:hAnsi="Lucida Console" w:cs="Helvetica"/>
          <w:color w:val="000000"/>
          <w:sz w:val="24"/>
          <w:szCs w:val="24"/>
        </w:rPr>
        <w:t>2.1</w:t>
      </w:r>
      <w:r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 xml:space="preserve"> </w:t>
      </w:r>
      <w:r w:rsidRPr="00AD4AEE">
        <w:rPr>
          <w:rFonts w:ascii="Lucida Console" w:eastAsia="Times New Roman" w:hAnsi="Lucida Console" w:cs="Helvetica"/>
          <w:color w:val="000000"/>
          <w:sz w:val="24"/>
          <w:szCs w:val="24"/>
        </w:rPr>
        <w:t>Généralités</w:t>
      </w:r>
    </w:p>
    <w:p w:rsidR="00AD4AEE" w:rsidRPr="00AD4AEE" w:rsidRDefault="00AD4AEE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AD4AEE">
        <w:rPr>
          <w:rFonts w:ascii="Lucida Console" w:eastAsia="Times New Roman" w:hAnsi="Lucida Console" w:cs="Helvetica"/>
          <w:color w:val="000000"/>
          <w:sz w:val="24"/>
          <w:szCs w:val="24"/>
        </w:rPr>
        <w:t>2.2 Evolution de la notion de doses admissibles</w:t>
      </w:r>
    </w:p>
    <w:p w:rsidR="00AD4AEE" w:rsidRPr="00AD4AEE" w:rsidRDefault="00AD4AEE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AD4AEE">
        <w:rPr>
          <w:rFonts w:ascii="Lucida Console" w:eastAsia="Times New Roman" w:hAnsi="Lucida Console" w:cs="Helvetica"/>
          <w:color w:val="000000"/>
          <w:sz w:val="24"/>
          <w:szCs w:val="24"/>
        </w:rPr>
        <w:t>2.3 Notions de doses tolérables</w:t>
      </w:r>
    </w:p>
    <w:p w:rsidR="00AD4AEE" w:rsidRDefault="00AD4AEE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AD4AEE">
        <w:rPr>
          <w:rFonts w:ascii="Lucida Console" w:eastAsia="Times New Roman" w:hAnsi="Lucida Console" w:cs="Helvetica"/>
          <w:color w:val="000000"/>
          <w:sz w:val="24"/>
          <w:szCs w:val="24"/>
        </w:rPr>
        <w:t>2.4 Les limites des doses admissibles</w:t>
      </w:r>
    </w:p>
    <w:p w:rsidR="00AE7706" w:rsidRDefault="00AE7706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</w:p>
    <w:p w:rsidR="00AE7706" w:rsidRDefault="00AE7706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</w:pPr>
      <w:r w:rsidRPr="00AE7706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Chapitre 3</w:t>
      </w:r>
      <w:r>
        <w:rPr>
          <w:rFonts w:ascii="Lucida Console" w:eastAsia="Times New Roman" w:hAnsi="Lucida Console" w:cs="Helvetica"/>
          <w:color w:val="000000"/>
          <w:sz w:val="24"/>
          <w:szCs w:val="24"/>
        </w:rPr>
        <w:t xml:space="preserve"> : </w:t>
      </w:r>
      <w:r w:rsidRPr="00AE7706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Influence des facteurs ecologiques sur la manifestation de la toxicité</w:t>
      </w:r>
    </w:p>
    <w:p w:rsidR="00AE7706" w:rsidRPr="00AE7706" w:rsidRDefault="00AE7706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AE7706">
        <w:rPr>
          <w:rFonts w:ascii="Lucida Console" w:eastAsia="Times New Roman" w:hAnsi="Lucida Console" w:cs="Helvetica"/>
          <w:color w:val="000000"/>
          <w:sz w:val="24"/>
          <w:szCs w:val="24"/>
        </w:rPr>
        <w:t xml:space="preserve">3.1 Les facteurs intrinsèques </w:t>
      </w:r>
    </w:p>
    <w:p w:rsidR="00AE7706" w:rsidRDefault="00AE7706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AE7706">
        <w:rPr>
          <w:rFonts w:ascii="Lucida Console" w:eastAsia="Times New Roman" w:hAnsi="Lucida Console" w:cs="Helvetica"/>
          <w:color w:val="000000"/>
          <w:sz w:val="24"/>
          <w:szCs w:val="24"/>
        </w:rPr>
        <w:t>3.1 Les facteurs extrinsèques</w:t>
      </w:r>
    </w:p>
    <w:p w:rsidR="00AE7706" w:rsidRDefault="00AE7706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</w:p>
    <w:p w:rsidR="00B43952" w:rsidRDefault="00AE7706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</w:pPr>
      <w:r w:rsidRPr="00AE7706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 xml:space="preserve">Chapitre 4 : </w:t>
      </w:r>
      <w:r w:rsidR="00B43952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Action toxique des pesticides</w:t>
      </w:r>
    </w:p>
    <w:p w:rsidR="00B43952" w:rsidRPr="00B43952" w:rsidRDefault="00B43952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B43952">
        <w:rPr>
          <w:rFonts w:ascii="Lucida Console" w:eastAsia="Times New Roman" w:hAnsi="Lucida Console" w:cs="Helvetica"/>
          <w:color w:val="000000"/>
          <w:sz w:val="24"/>
          <w:szCs w:val="24"/>
        </w:rPr>
        <w:t xml:space="preserve">4.1 Les Herbicides </w:t>
      </w:r>
    </w:p>
    <w:p w:rsidR="00AE7706" w:rsidRDefault="00B43952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B43952">
        <w:rPr>
          <w:rFonts w:ascii="Lucida Console" w:eastAsia="Times New Roman" w:hAnsi="Lucida Console" w:cs="Helvetica"/>
          <w:color w:val="000000"/>
          <w:sz w:val="24"/>
          <w:szCs w:val="24"/>
        </w:rPr>
        <w:t xml:space="preserve">4.2 Les insecticides </w:t>
      </w:r>
      <w:r w:rsidR="00AE7706" w:rsidRPr="00B43952">
        <w:rPr>
          <w:rFonts w:ascii="Lucida Console" w:eastAsia="Times New Roman" w:hAnsi="Lucida Console" w:cs="Helvetica"/>
          <w:color w:val="000000"/>
          <w:sz w:val="24"/>
          <w:szCs w:val="24"/>
        </w:rPr>
        <w:t xml:space="preserve"> </w:t>
      </w:r>
    </w:p>
    <w:p w:rsidR="00B43952" w:rsidRDefault="00B43952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</w:p>
    <w:p w:rsidR="00B43952" w:rsidRDefault="00B43952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B43952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Chapitre 5 : Etude de deux polluants : Hg, et Pb</w:t>
      </w:r>
      <w:r>
        <w:rPr>
          <w:rFonts w:ascii="Lucida Console" w:eastAsia="Times New Roman" w:hAnsi="Lucida Console" w:cs="Helvetica"/>
          <w:color w:val="000000"/>
          <w:sz w:val="24"/>
          <w:szCs w:val="24"/>
        </w:rPr>
        <w:t xml:space="preserve">. </w:t>
      </w:r>
    </w:p>
    <w:p w:rsidR="00B43952" w:rsidRPr="00B43952" w:rsidRDefault="00B43952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</w:pPr>
      <w:r w:rsidRPr="00B43952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Chapitre 6 : Analyse des résidus</w:t>
      </w:r>
    </w:p>
    <w:p w:rsidR="00AE7706" w:rsidRPr="00B43952" w:rsidRDefault="00AE7706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</w:p>
    <w:p w:rsidR="00BC3E4D" w:rsidRPr="00720619" w:rsidRDefault="00BC3E4D" w:rsidP="00BC3E4D">
      <w:pPr>
        <w:shd w:val="clear" w:color="auto" w:fill="FFFFFF"/>
        <w:spacing w:after="0" w:line="240" w:lineRule="auto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Mode d’évaluation : </w:t>
      </w:r>
      <w:r w:rsidRPr="00720619">
        <w:rPr>
          <w:rFonts w:ascii="Lucida Console" w:eastAsia="Times New Roman" w:hAnsi="Lucida Console" w:cs="Helvetica"/>
          <w:color w:val="000000"/>
          <w:sz w:val="24"/>
          <w:szCs w:val="24"/>
        </w:rPr>
        <w:t>Contrôle continu, Epreuve de Synthèse</w:t>
      </w:r>
    </w:p>
    <w:p w:rsidR="00BC3E4D" w:rsidRPr="00720619" w:rsidRDefault="00BC3E4D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lastRenderedPageBreak/>
        <w:t> </w:t>
      </w:r>
    </w:p>
    <w:p w:rsidR="00BC3E4D" w:rsidRPr="00720619" w:rsidRDefault="00BC3E4D" w:rsidP="00BC3E4D">
      <w:pPr>
        <w:shd w:val="clear" w:color="auto" w:fill="FFFFFF"/>
        <w:spacing w:after="0"/>
        <w:jc w:val="both"/>
        <w:rPr>
          <w:rFonts w:ascii="Lucida Console" w:eastAsia="Times New Roman" w:hAnsi="Lucida Console" w:cs="Helvetica"/>
          <w:color w:val="000000"/>
          <w:sz w:val="24"/>
          <w:szCs w:val="24"/>
        </w:rPr>
      </w:pP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Référence</w:t>
      </w:r>
      <w:r w:rsidR="00B43952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s</w:t>
      </w:r>
      <w:r w:rsidRPr="00720619">
        <w:rPr>
          <w:rFonts w:ascii="Lucida Console" w:eastAsia="Times New Roman" w:hAnsi="Lucida Console" w:cs="Helvetica"/>
          <w:b/>
          <w:bCs/>
          <w:color w:val="000000"/>
          <w:sz w:val="24"/>
          <w:szCs w:val="24"/>
        </w:rPr>
        <w:t> :</w:t>
      </w:r>
    </w:p>
    <w:p w:rsidR="00B43952" w:rsidRDefault="00B43952" w:rsidP="00B43952">
      <w:pPr>
        <w:spacing w:line="240" w:lineRule="auto"/>
        <w:rPr>
          <w:rFonts w:asciiTheme="majorBidi" w:hAnsiTheme="majorBidi"/>
        </w:rPr>
      </w:pPr>
      <w:r>
        <w:rPr>
          <w:rFonts w:asciiTheme="majorBidi" w:hAnsiTheme="majorBidi"/>
        </w:rPr>
        <w:t>RAMADE F, 2007- Introduction à l’écotoxicologie . Fondements et applications. Editions TEC et DOC. Paris 618p.</w:t>
      </w:r>
    </w:p>
    <w:p w:rsidR="00B43952" w:rsidRPr="000A779D" w:rsidRDefault="00B43952" w:rsidP="00B43952">
      <w:pPr>
        <w:spacing w:after="60"/>
        <w:rPr>
          <w:rFonts w:asciiTheme="majorBidi" w:hAnsiTheme="majorBidi"/>
        </w:rPr>
      </w:pPr>
      <w:r>
        <w:rPr>
          <w:rFonts w:asciiTheme="majorBidi" w:hAnsiTheme="majorBidi"/>
        </w:rPr>
        <w:t>CHIFFOLEAU.J.F ; AUGER D ; CHARTIER E, 2002- Dosage de certains métaux traces (Cd, Co, Cu, Fe, Ni, Pb, Zn) dissous dans l’eau de mer par absorption atomique après extraction liquide-liquide. IFREMER 37p</w:t>
      </w:r>
    </w:p>
    <w:p w:rsidR="00B43952" w:rsidRDefault="00B43952" w:rsidP="00B43952">
      <w:pPr>
        <w:spacing w:line="240" w:lineRule="auto"/>
        <w:rPr>
          <w:rFonts w:asciiTheme="majorBidi" w:hAnsiTheme="majorBidi"/>
        </w:rPr>
      </w:pPr>
      <w:r>
        <w:rPr>
          <w:rFonts w:asciiTheme="majorBidi" w:hAnsiTheme="majorBidi"/>
        </w:rPr>
        <w:t>CHIFFOLEAU.J.F ; AUGER D ; BOUTIER B ; ROZUEL E ; TRUQUET I, 2003- Dosage de certains métaux dans les sédiments et la matière en suspension par absorption atomique. IFREMER 44p</w:t>
      </w:r>
    </w:p>
    <w:p w:rsidR="00AC33FC" w:rsidRDefault="00AC33FC"/>
    <w:sectPr w:rsidR="00AC33FC" w:rsidSect="00EF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815B8"/>
    <w:multiLevelType w:val="multilevel"/>
    <w:tmpl w:val="D6C272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4D"/>
    <w:rsid w:val="002939C8"/>
    <w:rsid w:val="00362CDC"/>
    <w:rsid w:val="00AC33FC"/>
    <w:rsid w:val="00AD4AEE"/>
    <w:rsid w:val="00AE7706"/>
    <w:rsid w:val="00B43952"/>
    <w:rsid w:val="00B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4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ACER</cp:lastModifiedBy>
  <cp:revision>2</cp:revision>
  <dcterms:created xsi:type="dcterms:W3CDTF">2020-03-28T12:10:00Z</dcterms:created>
  <dcterms:modified xsi:type="dcterms:W3CDTF">2020-03-28T12:10:00Z</dcterms:modified>
</cp:coreProperties>
</file>