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F4" w:rsidRDefault="006954F4" w:rsidP="006954F4">
      <w:r>
        <w:t xml:space="preserve">Intitulé du Master : Sciences de la Mer  Semestre : 2 Intitulé de l’UE : Méthodologie Intitulé de la matière </w:t>
      </w:r>
      <w:r w:rsidRPr="00EB4D9A">
        <w:rPr>
          <w:b/>
          <w:bCs/>
        </w:rPr>
        <w:t>: Economie fondamentale et facteurs de production en matière de pêche</w:t>
      </w:r>
      <w:r>
        <w:t xml:space="preserve"> </w:t>
      </w:r>
    </w:p>
    <w:p w:rsidR="006954F4" w:rsidRDefault="006954F4" w:rsidP="006954F4">
      <w:r>
        <w:t>Etablissement :</w:t>
      </w:r>
      <w:r w:rsidR="000477F1">
        <w:t xml:space="preserve"> </w:t>
      </w:r>
      <w:r>
        <w:t xml:space="preserve">Université Abou </w:t>
      </w:r>
      <w:proofErr w:type="spellStart"/>
      <w:r>
        <w:t>BekrBelkaïd</w:t>
      </w:r>
      <w:proofErr w:type="spellEnd"/>
      <w:r>
        <w:t xml:space="preserve"> - Tlemcen Intitulé du master </w:t>
      </w:r>
      <w:proofErr w:type="gramStart"/>
      <w:r>
        <w:t>:Sciences</w:t>
      </w:r>
      <w:proofErr w:type="gramEnd"/>
      <w:r>
        <w:t xml:space="preserve"> de la Mer </w:t>
      </w:r>
    </w:p>
    <w:p w:rsidR="006954F4" w:rsidRDefault="006954F4" w:rsidP="006954F4">
      <w:r>
        <w:t xml:space="preserve">Crédits : 6 Coefficients : 3 Objectifs de l’enseignement </w:t>
      </w:r>
      <w:proofErr w:type="gramStart"/>
      <w:r>
        <w:t>:  De</w:t>
      </w:r>
      <w:proofErr w:type="gramEnd"/>
      <w:r>
        <w:t xml:space="preserve"> manière générale, une ressource naturelle est une substance, un organisme ou un objet présent dans la nature et qui fait, dans la plupart des cas, l'objet d'une utilisation pour satisfaire les besoins (énergies, alimentation, agrément, etc.) des humains, animaux ou végétaux. </w:t>
      </w:r>
    </w:p>
    <w:p w:rsidR="006954F4" w:rsidRDefault="006954F4" w:rsidP="006954F4">
      <w:r>
        <w:t xml:space="preserve"> </w:t>
      </w:r>
    </w:p>
    <w:p w:rsidR="006954F4" w:rsidRDefault="006954F4" w:rsidP="006954F4">
      <w:r>
        <w:t xml:space="preserve">Connaissances préalables recommandées : Informations préalables en  ressources naturelles la biomasse utile et les « matières premières », puis les formes d’énergie utiles aux hommes et en particulier à l’agriculture, à la sylviculture et à la pêche. </w:t>
      </w:r>
    </w:p>
    <w:p w:rsidR="006954F4" w:rsidRDefault="006954F4" w:rsidP="006954F4">
      <w:r>
        <w:t xml:space="preserve"> </w:t>
      </w:r>
    </w:p>
    <w:p w:rsidR="006954F4" w:rsidRDefault="006954F4" w:rsidP="006954F4">
      <w:r>
        <w:t xml:space="preserve">Contenu de la matière :  </w:t>
      </w:r>
    </w:p>
    <w:p w:rsidR="006954F4" w:rsidRDefault="006954F4" w:rsidP="006954F4">
      <w:r>
        <w:t xml:space="preserve"> </w:t>
      </w:r>
    </w:p>
    <w:p w:rsidR="006E6F89" w:rsidRDefault="006954F4" w:rsidP="006954F4">
      <w:r>
        <w:t xml:space="preserve">1.    Fondements d'économie </w:t>
      </w:r>
    </w:p>
    <w:p w:rsidR="006E6F89" w:rsidRDefault="006954F4" w:rsidP="006954F4">
      <w:r>
        <w:t>2.    L’activité des entreprises dans la filière des pêches</w:t>
      </w:r>
    </w:p>
    <w:p w:rsidR="006E6F89" w:rsidRDefault="006954F4" w:rsidP="006954F4">
      <w:r>
        <w:t xml:space="preserve"> 3.    Les bateaux et la technologie de pêche </w:t>
      </w:r>
    </w:p>
    <w:p w:rsidR="006E6F89" w:rsidRDefault="006954F4" w:rsidP="006954F4">
      <w:r>
        <w:t xml:space="preserve">3.1.    Typologie, registres et paramètres de contrôle </w:t>
      </w:r>
    </w:p>
    <w:p w:rsidR="006E6F89" w:rsidRDefault="006954F4" w:rsidP="006954F4">
      <w:r>
        <w:t>3.2.    Postes de travail et formation nécessaire</w:t>
      </w:r>
    </w:p>
    <w:p w:rsidR="006E6F89" w:rsidRDefault="006954F4" w:rsidP="006954F4">
      <w:r>
        <w:t xml:space="preserve"> 3.3.    Types de techniques et engins de pêche</w:t>
      </w:r>
    </w:p>
    <w:p w:rsidR="006E6F89" w:rsidRDefault="006954F4" w:rsidP="006954F4">
      <w:r>
        <w:t xml:space="preserve"> 3.4.    Changement technologique et changement quantitatif</w:t>
      </w:r>
    </w:p>
    <w:p w:rsidR="006954F4" w:rsidRDefault="006954F4" w:rsidP="006954F4">
      <w:r>
        <w:t xml:space="preserve"> 4.    Travail pratique : projections économiques et stratégies de gestion d’entreprises </w:t>
      </w:r>
    </w:p>
    <w:p w:rsidR="006954F4" w:rsidRDefault="006954F4" w:rsidP="006954F4">
      <w:r>
        <w:t xml:space="preserve"> </w:t>
      </w:r>
    </w:p>
    <w:p w:rsidR="006954F4" w:rsidRDefault="006954F4" w:rsidP="006954F4">
      <w:r>
        <w:t xml:space="preserve">Mode d’évaluation : Contrôle continu, Epreuve de Synthèse Référence : </w:t>
      </w:r>
    </w:p>
    <w:p w:rsidR="006E6F89" w:rsidRDefault="006954F4" w:rsidP="006954F4">
      <w:r>
        <w:t xml:space="preserve">G. </w:t>
      </w:r>
      <w:proofErr w:type="spellStart"/>
      <w:r>
        <w:t>Rotillon</w:t>
      </w:r>
      <w:proofErr w:type="spellEnd"/>
      <w:r>
        <w:t xml:space="preserve"> (2010), Économie des ressources naturelles, La découverte, </w:t>
      </w:r>
    </w:p>
    <w:p w:rsidR="006E6F89" w:rsidRDefault="006954F4" w:rsidP="006954F4">
      <w:proofErr w:type="gramStart"/>
      <w:r>
        <w:t>collection</w:t>
      </w:r>
      <w:proofErr w:type="gramEnd"/>
      <w:r>
        <w:t xml:space="preserve"> repère, Paris, 2005, réédité 2010 </w:t>
      </w:r>
    </w:p>
    <w:p w:rsidR="006E6F89" w:rsidRDefault="006954F4" w:rsidP="006954F4">
      <w:proofErr w:type="spellStart"/>
      <w:r>
        <w:t>Giljum</w:t>
      </w:r>
      <w:proofErr w:type="spellEnd"/>
      <w:r>
        <w:t xml:space="preserve">, S., Behrens, A., </w:t>
      </w:r>
      <w:proofErr w:type="spellStart"/>
      <w:r>
        <w:t>Hintergerber</w:t>
      </w:r>
      <w:proofErr w:type="spellEnd"/>
      <w:r>
        <w:t>, F., Lutz, C. and Meyer, B. (2008),</w:t>
      </w:r>
    </w:p>
    <w:p w:rsidR="00E87F81" w:rsidRPr="00AF346B" w:rsidRDefault="006954F4" w:rsidP="006954F4">
      <w:pPr>
        <w:rPr>
          <w:lang w:val="en-US"/>
        </w:rPr>
      </w:pPr>
      <w:r>
        <w:t xml:space="preserve"> </w:t>
      </w:r>
      <w:proofErr w:type="spellStart"/>
      <w:proofErr w:type="gramStart"/>
      <w:r w:rsidRPr="00AF346B">
        <w:rPr>
          <w:lang w:val="en-US"/>
        </w:rPr>
        <w:t>Modelling</w:t>
      </w:r>
      <w:proofErr w:type="spellEnd"/>
      <w:r w:rsidRPr="00AF346B">
        <w:rPr>
          <w:lang w:val="en-US"/>
        </w:rPr>
        <w:t xml:space="preserve"> scenarios towards a sustainable use of natural resources in </w:t>
      </w:r>
      <w:proofErr w:type="spellStart"/>
      <w:r w:rsidRPr="00AF346B">
        <w:rPr>
          <w:lang w:val="en-US"/>
        </w:rPr>
        <w:t>Europe.In</w:t>
      </w:r>
      <w:proofErr w:type="spellEnd"/>
      <w:r w:rsidRPr="00AF346B">
        <w:rPr>
          <w:lang w:val="en-US"/>
        </w:rPr>
        <w:t>: Environmental Science and Policy 11 (3), 204-216.</w:t>
      </w:r>
      <w:proofErr w:type="gramEnd"/>
    </w:p>
    <w:sectPr w:rsidR="00E87F81" w:rsidRPr="00AF346B" w:rsidSect="000D21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954F4"/>
    <w:rsid w:val="000477F1"/>
    <w:rsid w:val="000D21D7"/>
    <w:rsid w:val="006954F4"/>
    <w:rsid w:val="006E6F89"/>
    <w:rsid w:val="00AF346B"/>
    <w:rsid w:val="00E87F81"/>
    <w:rsid w:val="00EB4D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1469</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INFOPLUS</cp:lastModifiedBy>
  <cp:revision>2</cp:revision>
  <dcterms:created xsi:type="dcterms:W3CDTF">2020-03-28T12:48:00Z</dcterms:created>
  <dcterms:modified xsi:type="dcterms:W3CDTF">2020-03-28T12:48:00Z</dcterms:modified>
</cp:coreProperties>
</file>