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8A" w:rsidRDefault="001C4D8A" w:rsidP="001C4D8A">
      <w:pPr>
        <w:bidi/>
        <w:rPr>
          <w:b/>
          <w:bCs/>
          <w:sz w:val="28"/>
          <w:szCs w:val="28"/>
        </w:rPr>
      </w:pPr>
      <w:r w:rsidRPr="000D3084">
        <w:rPr>
          <w:rFonts w:hint="cs"/>
          <w:b/>
          <w:bCs/>
          <w:sz w:val="32"/>
          <w:szCs w:val="32"/>
          <w:rtl/>
        </w:rPr>
        <w:t xml:space="preserve">المحاضرة السابعة: 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EA041C">
        <w:rPr>
          <w:rFonts w:hint="cs"/>
          <w:b/>
          <w:bCs/>
          <w:color w:val="FF0000"/>
          <w:sz w:val="32"/>
          <w:szCs w:val="32"/>
          <w:rtl/>
        </w:rPr>
        <w:t>إدوارد</w:t>
      </w:r>
      <w:r w:rsidRPr="00EA041C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EA041C">
        <w:rPr>
          <w:rFonts w:hint="cs"/>
          <w:b/>
          <w:bCs/>
          <w:color w:val="FF0000"/>
          <w:sz w:val="32"/>
          <w:szCs w:val="32"/>
          <w:rtl/>
        </w:rPr>
        <w:t>إيفان</w:t>
      </w:r>
      <w:proofErr w:type="spellEnd"/>
      <w:r w:rsidRPr="00EA041C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EA041C">
        <w:rPr>
          <w:rFonts w:hint="cs"/>
          <w:b/>
          <w:bCs/>
          <w:color w:val="FF0000"/>
          <w:sz w:val="32"/>
          <w:szCs w:val="32"/>
          <w:rtl/>
        </w:rPr>
        <w:t>إيفانز</w:t>
      </w:r>
      <w:proofErr w:type="spellEnd"/>
      <w:r w:rsidRPr="00EA041C">
        <w:rPr>
          <w:rFonts w:hint="cs"/>
          <w:b/>
          <w:bCs/>
          <w:color w:val="FF0000"/>
          <w:sz w:val="32"/>
          <w:szCs w:val="32"/>
          <w:rtl/>
        </w:rPr>
        <w:t>- برتشارد</w:t>
      </w:r>
      <w:r w:rsidRPr="00EA041C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(1902-</w:t>
      </w:r>
      <w:r w:rsidRPr="000D3084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1973)</w:t>
      </w:r>
      <w:r w:rsidRPr="000D3084">
        <w:rPr>
          <w:rFonts w:hint="cs"/>
          <w:b/>
          <w:bCs/>
          <w:sz w:val="36"/>
          <w:szCs w:val="36"/>
          <w:rtl/>
        </w:rPr>
        <w:t xml:space="preserve">                                 </w:t>
      </w:r>
    </w:p>
    <w:p w:rsidR="001C4D8A" w:rsidRPr="000E1A80" w:rsidRDefault="001C4D8A" w:rsidP="001C4D8A">
      <w:pPr>
        <w:tabs>
          <w:tab w:val="left" w:pos="7047"/>
        </w:tabs>
        <w:bidi/>
        <w:jc w:val="right"/>
        <w:rPr>
          <w:color w:val="FF0000"/>
          <w:sz w:val="28"/>
          <w:szCs w:val="28"/>
          <w:rtl/>
        </w:rPr>
      </w:pPr>
      <w:r w:rsidRPr="000E1A80">
        <w:rPr>
          <w:rFonts w:ascii="Arial" w:hAnsi="Arial" w:cs="Arial"/>
          <w:color w:val="FF0000"/>
          <w:sz w:val="32"/>
          <w:szCs w:val="32"/>
          <w:shd w:val="clear" w:color="auto" w:fill="FFFFFF"/>
        </w:rPr>
        <w:t xml:space="preserve">Edward </w:t>
      </w:r>
      <w:proofErr w:type="spellStart"/>
      <w:r w:rsidRPr="000E1A80">
        <w:rPr>
          <w:rFonts w:ascii="Arial" w:hAnsi="Arial" w:cs="Arial"/>
          <w:color w:val="FF0000"/>
          <w:sz w:val="32"/>
          <w:szCs w:val="32"/>
          <w:shd w:val="clear" w:color="auto" w:fill="FFFFFF"/>
        </w:rPr>
        <w:t>Evan</w:t>
      </w:r>
      <w:proofErr w:type="spellEnd"/>
      <w:r w:rsidRPr="000E1A80">
        <w:rPr>
          <w:rFonts w:ascii="Arial" w:hAnsi="Arial" w:cs="Arial"/>
          <w:color w:val="FF0000"/>
          <w:sz w:val="32"/>
          <w:szCs w:val="32"/>
          <w:shd w:val="clear" w:color="auto" w:fill="FFFFFF"/>
        </w:rPr>
        <w:t xml:space="preserve"> Evans-Pritchard</w:t>
      </w:r>
    </w:p>
    <w:p w:rsidR="001C4D8A" w:rsidRDefault="001C4D8A" w:rsidP="001C4D8A">
      <w:pPr>
        <w:bidi/>
        <w:rPr>
          <w:sz w:val="28"/>
          <w:szCs w:val="28"/>
          <w:rtl/>
          <w:lang w:val="en-US"/>
        </w:rPr>
      </w:pPr>
      <w:r>
        <w:rPr>
          <w:rFonts w:hint="cs"/>
          <w:color w:val="FF0000"/>
          <w:sz w:val="32"/>
          <w:szCs w:val="32"/>
          <w:rtl/>
        </w:rPr>
        <w:t>1/</w:t>
      </w:r>
      <w:r w:rsidRPr="003F2C98">
        <w:rPr>
          <w:rFonts w:hint="cs"/>
          <w:color w:val="FF0000"/>
          <w:sz w:val="32"/>
          <w:szCs w:val="32"/>
          <w:rtl/>
        </w:rPr>
        <w:t>التّعريف: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42596A">
        <w:rPr>
          <w:rFonts w:hint="cs"/>
          <w:sz w:val="28"/>
          <w:szCs w:val="28"/>
          <w:rtl/>
        </w:rPr>
        <w:t>ولد</w:t>
      </w:r>
      <w:r>
        <w:rPr>
          <w:rFonts w:hint="cs"/>
          <w:sz w:val="28"/>
          <w:szCs w:val="28"/>
          <w:rtl/>
        </w:rPr>
        <w:t xml:space="preserve"> سنة 1902 في مقاطعة </w:t>
      </w:r>
      <w:proofErr w:type="spellStart"/>
      <w:r>
        <w:rPr>
          <w:rFonts w:hint="cs"/>
          <w:sz w:val="28"/>
          <w:szCs w:val="28"/>
          <w:rtl/>
        </w:rPr>
        <w:t>سو</w:t>
      </w:r>
      <w:r>
        <w:rPr>
          <w:rFonts w:hint="cs"/>
          <w:sz w:val="28"/>
          <w:szCs w:val="28"/>
          <w:rtl/>
          <w:lang w:val="en-US"/>
        </w:rPr>
        <w:t>س</w:t>
      </w:r>
      <w:r>
        <w:rPr>
          <w:rFonts w:hint="cs"/>
          <w:sz w:val="28"/>
          <w:szCs w:val="28"/>
          <w:rtl/>
        </w:rPr>
        <w:t>كس</w:t>
      </w:r>
      <w:proofErr w:type="spellEnd"/>
      <w:r>
        <w:rPr>
          <w:rFonts w:hint="cs"/>
          <w:sz w:val="28"/>
          <w:szCs w:val="28"/>
          <w:rtl/>
        </w:rPr>
        <w:t xml:space="preserve">، و هو </w:t>
      </w:r>
      <w:proofErr w:type="spellStart"/>
      <w:r>
        <w:rPr>
          <w:rFonts w:hint="cs"/>
          <w:sz w:val="28"/>
          <w:szCs w:val="28"/>
          <w:rtl/>
        </w:rPr>
        <w:t>إبن</w:t>
      </w:r>
      <w:proofErr w:type="spellEnd"/>
      <w:r>
        <w:rPr>
          <w:rFonts w:hint="cs"/>
          <w:sz w:val="28"/>
          <w:szCs w:val="28"/>
          <w:rtl/>
        </w:rPr>
        <w:t xml:space="preserve"> قس من أصل غالي. درس التّاريخ المعاصر في أكسفورد ثم الأنثروبولوجيا في المدرسة العليا للدراسات الاقتصادية في لندن. حيث حصل على  الدكتوراه عام 1927. تتلمذ عل يد </w:t>
      </w:r>
      <w:proofErr w:type="spellStart"/>
      <w:r>
        <w:rPr>
          <w:rFonts w:hint="cs"/>
          <w:sz w:val="28"/>
          <w:szCs w:val="28"/>
          <w:rtl/>
        </w:rPr>
        <w:t>سليغمان</w:t>
      </w:r>
      <w:proofErr w:type="spellEnd"/>
      <w:r>
        <w:rPr>
          <w:rFonts w:hint="cs"/>
          <w:sz w:val="28"/>
          <w:szCs w:val="28"/>
          <w:rtl/>
        </w:rPr>
        <w:t xml:space="preserve">، ثم باشر تحت إشرافه أولى مهامه في السودان </w:t>
      </w:r>
      <w:proofErr w:type="spellStart"/>
      <w:r>
        <w:rPr>
          <w:rFonts w:hint="cs"/>
          <w:sz w:val="28"/>
          <w:szCs w:val="28"/>
          <w:rtl/>
        </w:rPr>
        <w:t>الأنكلو</w:t>
      </w:r>
      <w:proofErr w:type="spellEnd"/>
      <w:r>
        <w:rPr>
          <w:rFonts w:hint="cs"/>
          <w:sz w:val="28"/>
          <w:szCs w:val="28"/>
          <w:rtl/>
        </w:rPr>
        <w:t xml:space="preserve">-مصري بعدما تلقى دروسا على يد </w:t>
      </w:r>
      <w:proofErr w:type="spellStart"/>
      <w:r>
        <w:rPr>
          <w:rFonts w:hint="cs"/>
          <w:sz w:val="28"/>
          <w:szCs w:val="28"/>
          <w:rtl/>
        </w:rPr>
        <w:t>مالينوفسكي</w:t>
      </w:r>
      <w:proofErr w:type="spellEnd"/>
      <w:r>
        <w:rPr>
          <w:rFonts w:hint="cs"/>
          <w:sz w:val="28"/>
          <w:szCs w:val="28"/>
          <w:rtl/>
        </w:rPr>
        <w:t xml:space="preserve"> الذي بقي دائما متحفظا حياله، و </w:t>
      </w:r>
      <w:proofErr w:type="spellStart"/>
      <w:r>
        <w:rPr>
          <w:rFonts w:hint="cs"/>
          <w:sz w:val="28"/>
          <w:szCs w:val="28"/>
          <w:rtl/>
        </w:rPr>
        <w:t>رادكليف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براون</w:t>
      </w:r>
      <w:proofErr w:type="spellEnd"/>
      <w:r>
        <w:rPr>
          <w:rFonts w:hint="cs"/>
          <w:sz w:val="28"/>
          <w:szCs w:val="28"/>
          <w:rtl/>
        </w:rPr>
        <w:t xml:space="preserve">- لقد جعله هذا الأخير يكتشف </w:t>
      </w:r>
      <w:proofErr w:type="spellStart"/>
      <w:r>
        <w:rPr>
          <w:rFonts w:hint="cs"/>
          <w:sz w:val="28"/>
          <w:szCs w:val="28"/>
          <w:rtl/>
        </w:rPr>
        <w:t>دوركايم</w:t>
      </w:r>
      <w:proofErr w:type="spellEnd"/>
      <w:r>
        <w:rPr>
          <w:rFonts w:hint="cs"/>
          <w:sz w:val="28"/>
          <w:szCs w:val="28"/>
          <w:rtl/>
        </w:rPr>
        <w:t xml:space="preserve"> و علم الاجتماع الفرنسي. لكن بريتشارد استبعد باكرا فكرة الأنثروبولوجيا كعلم طبيعي للمجتمعات.                                                                                                               من عام 1926</w:t>
      </w:r>
      <w:r w:rsidRPr="0042596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على 1940 قام بريتشارد بالعديد من المهمات في السودان و لم يقطع إقامته الطويلة في الميدان سوى لفترات التعليم القصيرة في المدرسة العليا للدراسات الاقتصادية في لندن، و في جامعة فؤاد الأول بالقاهرة حيث تبوأ مقعد كرسي علم الاجتماع (1932-1934)، و في أكسفورد أصبح أكثر قربا من معهد الأنثروبولوجيا الاجتماعية الذي أسسه </w:t>
      </w:r>
      <w:proofErr w:type="spellStart"/>
      <w:r>
        <w:rPr>
          <w:rFonts w:hint="cs"/>
          <w:sz w:val="28"/>
          <w:szCs w:val="28"/>
          <w:rtl/>
        </w:rPr>
        <w:t>رادكليف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براون</w:t>
      </w:r>
      <w:proofErr w:type="spellEnd"/>
      <w:r>
        <w:rPr>
          <w:rFonts w:hint="cs"/>
          <w:sz w:val="28"/>
          <w:szCs w:val="28"/>
          <w:rtl/>
        </w:rPr>
        <w:t xml:space="preserve">.                                                      في عام1940 استخدمت الحكومة البريطانية خبرات بريتشارد لتنظم تمرد </w:t>
      </w:r>
      <w:proofErr w:type="spellStart"/>
      <w:r>
        <w:rPr>
          <w:rFonts w:hint="cs"/>
          <w:sz w:val="28"/>
          <w:szCs w:val="28"/>
          <w:rtl/>
        </w:rPr>
        <w:t>الأنواك</w:t>
      </w:r>
      <w:proofErr w:type="spellEnd"/>
      <w:r>
        <w:rPr>
          <w:rFonts w:hint="cs"/>
          <w:sz w:val="28"/>
          <w:szCs w:val="28"/>
          <w:rtl/>
        </w:rPr>
        <w:t xml:space="preserve"> ضد الإيطاليين الذين يحتلون أثيوبيا، قبل إرساله إلى سوريا لدى طائفة العلويين من عام 1942- 1944 ثم مستشارا للإدارة العسكرية في ليبيا، و هناك درس بريتشارد طائفة السنوسية المسلمة، و بعد انتقال قصير إلى كمبريدج عام 1945 حيث خلف أستاذه </w:t>
      </w:r>
      <w:proofErr w:type="spellStart"/>
      <w:r>
        <w:rPr>
          <w:rFonts w:hint="cs"/>
          <w:sz w:val="28"/>
          <w:szCs w:val="28"/>
          <w:rtl/>
        </w:rPr>
        <w:t>رادكليف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براون</w:t>
      </w:r>
      <w:proofErr w:type="spellEnd"/>
      <w:r>
        <w:rPr>
          <w:rFonts w:hint="cs"/>
          <w:sz w:val="28"/>
          <w:szCs w:val="28"/>
          <w:rtl/>
        </w:rPr>
        <w:t xml:space="preserve"> على كرسي علم الاجتماع في أكسفورد إلى غاية إحالته على التقاعد.                                                                                                                           توفي سنة 1973، </w:t>
      </w:r>
      <w:proofErr w:type="gramStart"/>
      <w:r>
        <w:rPr>
          <w:rFonts w:hint="cs"/>
          <w:sz w:val="28"/>
          <w:szCs w:val="28"/>
          <w:rtl/>
        </w:rPr>
        <w:t>تاركا</w:t>
      </w:r>
      <w:proofErr w:type="gramEnd"/>
      <w:r>
        <w:rPr>
          <w:rFonts w:hint="cs"/>
          <w:sz w:val="28"/>
          <w:szCs w:val="28"/>
          <w:rtl/>
        </w:rPr>
        <w:t xml:space="preserve"> مراجع بحث بأكثر من 400 عنوان.                                                             </w:t>
      </w:r>
      <w:r w:rsidRPr="003F2C98">
        <w:rPr>
          <w:rFonts w:hint="cs"/>
          <w:color w:val="FF0000"/>
          <w:sz w:val="28"/>
          <w:szCs w:val="28"/>
          <w:rtl/>
        </w:rPr>
        <w:t>2/</w:t>
      </w:r>
      <w:r w:rsidRPr="003F2C98">
        <w:rPr>
          <w:rFonts w:hint="cs"/>
          <w:color w:val="FF0000"/>
          <w:sz w:val="32"/>
          <w:szCs w:val="32"/>
          <w:rtl/>
        </w:rPr>
        <w:t xml:space="preserve">إسهامه:                                                                                                                       </w:t>
      </w:r>
      <w:r>
        <w:rPr>
          <w:rFonts w:hint="cs"/>
          <w:sz w:val="28"/>
          <w:szCs w:val="28"/>
          <w:rtl/>
        </w:rPr>
        <w:t xml:space="preserve">يُقدم </w:t>
      </w:r>
      <w:proofErr w:type="spellStart"/>
      <w:r>
        <w:rPr>
          <w:rFonts w:hint="cs"/>
          <w:sz w:val="28"/>
          <w:szCs w:val="28"/>
          <w:rtl/>
        </w:rPr>
        <w:t>إيفانز</w:t>
      </w:r>
      <w:proofErr w:type="spellEnd"/>
      <w:r>
        <w:rPr>
          <w:rFonts w:hint="cs"/>
          <w:sz w:val="28"/>
          <w:szCs w:val="28"/>
          <w:rtl/>
        </w:rPr>
        <w:t xml:space="preserve"> برتشارد بأنه </w:t>
      </w:r>
      <w:r w:rsidRPr="00472F01">
        <w:rPr>
          <w:rFonts w:hint="cs"/>
          <w:color w:val="FF0000"/>
          <w:sz w:val="28"/>
          <w:szCs w:val="28"/>
          <w:rtl/>
        </w:rPr>
        <w:t xml:space="preserve">سر </w:t>
      </w:r>
      <w:proofErr w:type="spellStart"/>
      <w:r w:rsidRPr="00472F01">
        <w:rPr>
          <w:rFonts w:hint="cs"/>
          <w:color w:val="FF0000"/>
          <w:sz w:val="28"/>
          <w:szCs w:val="28"/>
          <w:rtl/>
        </w:rPr>
        <w:t>أنثروبولوجيين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9F0209">
        <w:rPr>
          <w:rFonts w:hint="cs"/>
          <w:sz w:val="28"/>
          <w:szCs w:val="28"/>
          <w:rtl/>
        </w:rPr>
        <w:t>كبار</w:t>
      </w:r>
      <w:r>
        <w:rPr>
          <w:rFonts w:hint="cs"/>
          <w:sz w:val="28"/>
          <w:szCs w:val="28"/>
          <w:rtl/>
        </w:rPr>
        <w:t xml:space="preserve"> من أمثال </w:t>
      </w:r>
      <w:proofErr w:type="spellStart"/>
      <w:r>
        <w:rPr>
          <w:rFonts w:hint="cs"/>
          <w:sz w:val="28"/>
          <w:szCs w:val="28"/>
          <w:rtl/>
        </w:rPr>
        <w:t>رادكليف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براون</w:t>
      </w:r>
      <w:proofErr w:type="spellEnd"/>
      <w:r>
        <w:rPr>
          <w:rFonts w:hint="cs"/>
          <w:sz w:val="28"/>
          <w:szCs w:val="28"/>
          <w:rtl/>
        </w:rPr>
        <w:t xml:space="preserve"> و </w:t>
      </w:r>
      <w:proofErr w:type="spellStart"/>
      <w:r>
        <w:rPr>
          <w:rFonts w:hint="cs"/>
          <w:sz w:val="28"/>
          <w:szCs w:val="28"/>
          <w:rtl/>
        </w:rPr>
        <w:t>مالينوفسكي</w:t>
      </w:r>
      <w:proofErr w:type="spellEnd"/>
      <w:r>
        <w:rPr>
          <w:rFonts w:hint="cs"/>
          <w:sz w:val="28"/>
          <w:szCs w:val="28"/>
          <w:rtl/>
        </w:rPr>
        <w:t xml:space="preserve">، حيث اعتبره </w:t>
      </w:r>
      <w:proofErr w:type="spellStart"/>
      <w:r>
        <w:rPr>
          <w:rFonts w:hint="cs"/>
          <w:sz w:val="28"/>
          <w:szCs w:val="28"/>
          <w:rtl/>
        </w:rPr>
        <w:t>براون</w:t>
      </w:r>
      <w:proofErr w:type="spellEnd"/>
      <w:r>
        <w:rPr>
          <w:rFonts w:hint="cs"/>
          <w:sz w:val="28"/>
          <w:szCs w:val="28"/>
          <w:rtl/>
        </w:rPr>
        <w:t xml:space="preserve"> أنثروبولوجيا كبيرا، و على الرّغم من إعجابه بالعمل الذي أنجزه حول النّوير، وجه نقدا لاذعا لهذه الدراسة تجاوز الجوانب الشكلية ليطال الدلالة المتعلقة بمفهوم "البنية الاجتماعية". يقول </w:t>
      </w:r>
      <w:proofErr w:type="spellStart"/>
      <w:r>
        <w:rPr>
          <w:rFonts w:hint="cs"/>
          <w:sz w:val="28"/>
          <w:szCs w:val="28"/>
          <w:rtl/>
        </w:rPr>
        <w:t>براون</w:t>
      </w:r>
      <w:proofErr w:type="spellEnd"/>
      <w:r>
        <w:rPr>
          <w:rFonts w:hint="cs"/>
          <w:sz w:val="28"/>
          <w:szCs w:val="28"/>
          <w:rtl/>
        </w:rPr>
        <w:t xml:space="preserve">: "يكتفي بعض </w:t>
      </w:r>
      <w:proofErr w:type="spellStart"/>
      <w:r>
        <w:rPr>
          <w:rFonts w:hint="cs"/>
          <w:sz w:val="28"/>
          <w:szCs w:val="28"/>
          <w:rtl/>
        </w:rPr>
        <w:t>الأنثروبولوجيين</w:t>
      </w:r>
      <w:proofErr w:type="spellEnd"/>
      <w:r>
        <w:rPr>
          <w:rFonts w:hint="cs"/>
          <w:sz w:val="28"/>
          <w:szCs w:val="28"/>
          <w:rtl/>
        </w:rPr>
        <w:t xml:space="preserve"> بحمل عبارة البنية الاجتماعية على مجموعات اجتماعية دائمة إلى حد ما كالأمم و القبائل و العشائر التي تتمكن من الحفاظ على استقرارها و هويتها مهما طال مكوناتها من تغيرات. و لعل الدكتور بريتشارد في أحدث و أروع مؤلف له حول النوير، يفضل استعمال البنية الاجتماعية بهذا المعنى- و الحق إن وجود مجموعات اجتماعية تتمتع باستقرار دائم عنصر بالغ الأهمية في تحديد مفهوم البنية الاجتماعية، بيد أنه من المجدي أكثر أن نمنح لهذا المفهوم "دلالة أرحب" "                                                                                      _ كما رد بريتشارد على دراسة </w:t>
      </w:r>
      <w:proofErr w:type="spellStart"/>
      <w:r>
        <w:rPr>
          <w:rFonts w:hint="cs"/>
          <w:sz w:val="28"/>
          <w:szCs w:val="28"/>
          <w:rtl/>
        </w:rPr>
        <w:t>براون</w:t>
      </w:r>
      <w:proofErr w:type="spellEnd"/>
      <w:r>
        <w:rPr>
          <w:rFonts w:hint="cs"/>
          <w:sz w:val="28"/>
          <w:szCs w:val="28"/>
          <w:rtl/>
        </w:rPr>
        <w:t xml:space="preserve"> حول الخال في جنوب إفريقيا، فبالرغم  من كونه </w:t>
      </w:r>
      <w:r w:rsidRPr="00472F01">
        <w:rPr>
          <w:rFonts w:hint="cs"/>
          <w:sz w:val="28"/>
          <w:szCs w:val="28"/>
          <w:rtl/>
        </w:rPr>
        <w:t>حبذّ</w:t>
      </w:r>
      <w:r>
        <w:rPr>
          <w:rFonts w:hint="cs"/>
          <w:sz w:val="28"/>
          <w:szCs w:val="28"/>
          <w:rtl/>
        </w:rPr>
        <w:t xml:space="preserve"> استبعاد هذه الدراسة لفكرة الأنقاض أو البقايا الناجية </w:t>
      </w:r>
      <w:r>
        <w:rPr>
          <w:sz w:val="28"/>
          <w:szCs w:val="28"/>
        </w:rPr>
        <w:t xml:space="preserve"> les survivances</w:t>
      </w:r>
      <w:r>
        <w:rPr>
          <w:rFonts w:hint="cs"/>
          <w:sz w:val="28"/>
          <w:szCs w:val="28"/>
          <w:rtl/>
        </w:rPr>
        <w:t xml:space="preserve">  إلا أنها لم تف على ما يبدو له بوعودها فيما يخص ما رفعته من دعوى الارتقاء إلى نموذج المنهجية العلمية. فاستدلالات </w:t>
      </w:r>
      <w:proofErr w:type="spellStart"/>
      <w:r>
        <w:rPr>
          <w:rFonts w:hint="cs"/>
          <w:sz w:val="28"/>
          <w:szCs w:val="28"/>
          <w:rtl/>
        </w:rPr>
        <w:t>براون</w:t>
      </w:r>
      <w:proofErr w:type="spellEnd"/>
      <w:r>
        <w:rPr>
          <w:rFonts w:hint="cs"/>
          <w:sz w:val="28"/>
          <w:szCs w:val="28"/>
          <w:rtl/>
        </w:rPr>
        <w:t xml:space="preserve"> لا تغدو أن تكون تحصيل حاصل لأنه استكمل تفسيراته العقلية و المنطقية للظاهرة الاجتماعية قبل الاستعانة بأمثلة من الواقع.                                                                                                 و على هذا فإن الطابع النّقدي و التّركيبي الذي ميز أعمال بريتشارد كان بمثابة تأريخ </w:t>
      </w:r>
      <w:proofErr w:type="spellStart"/>
      <w:r>
        <w:rPr>
          <w:rFonts w:hint="cs"/>
          <w:sz w:val="28"/>
          <w:szCs w:val="28"/>
          <w:rtl/>
        </w:rPr>
        <w:t>للأنثوبولوجيا</w:t>
      </w:r>
      <w:proofErr w:type="spellEnd"/>
      <w:r>
        <w:rPr>
          <w:rFonts w:hint="cs"/>
          <w:sz w:val="28"/>
          <w:szCs w:val="28"/>
          <w:rtl/>
        </w:rPr>
        <w:t xml:space="preserve">       و مساءلة النّظريات السابقة، و لهذا نفترض وجود أعمال </w:t>
      </w:r>
      <w:proofErr w:type="spellStart"/>
      <w:r>
        <w:rPr>
          <w:rFonts w:hint="cs"/>
          <w:sz w:val="28"/>
          <w:szCs w:val="28"/>
          <w:rtl/>
        </w:rPr>
        <w:t>مالينوفسكي</w:t>
      </w:r>
      <w:proofErr w:type="spellEnd"/>
      <w:r>
        <w:rPr>
          <w:rFonts w:hint="cs"/>
          <w:sz w:val="28"/>
          <w:szCs w:val="28"/>
          <w:rtl/>
        </w:rPr>
        <w:t xml:space="preserve"> و </w:t>
      </w:r>
      <w:proofErr w:type="spellStart"/>
      <w:r>
        <w:rPr>
          <w:rFonts w:hint="cs"/>
          <w:sz w:val="28"/>
          <w:szCs w:val="28"/>
          <w:rtl/>
        </w:rPr>
        <w:t>رادكليف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براون</w:t>
      </w:r>
      <w:proofErr w:type="spellEnd"/>
      <w:r>
        <w:rPr>
          <w:rFonts w:hint="cs"/>
          <w:sz w:val="28"/>
          <w:szCs w:val="28"/>
          <w:rtl/>
        </w:rPr>
        <w:t xml:space="preserve"> ثانوية في المتن </w:t>
      </w:r>
      <w:proofErr w:type="spellStart"/>
      <w:r>
        <w:rPr>
          <w:rFonts w:hint="cs"/>
          <w:sz w:val="28"/>
          <w:szCs w:val="28"/>
          <w:rtl/>
        </w:rPr>
        <w:t>الربيتشاردي</w:t>
      </w:r>
      <w:proofErr w:type="spellEnd"/>
      <w:r>
        <w:rPr>
          <w:rFonts w:hint="cs"/>
          <w:sz w:val="28"/>
          <w:szCs w:val="28"/>
          <w:rtl/>
        </w:rPr>
        <w:t xml:space="preserve">.                                                                                                                 </w:t>
      </w:r>
      <w:r>
        <w:rPr>
          <w:rFonts w:hint="cs"/>
          <w:sz w:val="28"/>
          <w:szCs w:val="28"/>
          <w:rtl/>
        </w:rPr>
        <w:lastRenderedPageBreak/>
        <w:t>فبحسبه،</w:t>
      </w:r>
      <w:r w:rsidRPr="00F1545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مهمة الأنثروبولوجيا لا تنحصر في دراسة ظواهر معزولة عن بعضها البعض بنية فهم أسبابها و تفسير الدوافع التي تكمن خلفها بل تتمثل في فحص العلاقة بين مجموع المعارف النظرية والحياة الاجتماعية للبدائيين. ففي كتابه"الديانة لدى البدائيين من خلال نظريات </w:t>
      </w:r>
      <w:proofErr w:type="spellStart"/>
      <w:r>
        <w:rPr>
          <w:rFonts w:hint="cs"/>
          <w:sz w:val="28"/>
          <w:szCs w:val="28"/>
          <w:rtl/>
        </w:rPr>
        <w:t>الأنثروبولوجيين</w:t>
      </w:r>
      <w:proofErr w:type="spellEnd"/>
      <w:r>
        <w:rPr>
          <w:rFonts w:hint="cs"/>
          <w:sz w:val="28"/>
          <w:szCs w:val="28"/>
          <w:rtl/>
        </w:rPr>
        <w:t xml:space="preserve">" يؤكد بريتشارد أن ما فهمه ليس هو الديانات القديمة في حد ذاتها و إنما مختلف النظريات التي ألقت على عاتقها تفسير لهذه الديانات.                                                                                                        هذا الذهاب و الإياب بين </w:t>
      </w:r>
      <w:proofErr w:type="spellStart"/>
      <w:r>
        <w:rPr>
          <w:rFonts w:hint="cs"/>
          <w:sz w:val="28"/>
          <w:szCs w:val="28"/>
          <w:rtl/>
        </w:rPr>
        <w:t>الأنثربولوجية</w:t>
      </w:r>
      <w:proofErr w:type="spellEnd"/>
      <w:r>
        <w:rPr>
          <w:rFonts w:hint="cs"/>
          <w:sz w:val="28"/>
          <w:szCs w:val="28"/>
          <w:rtl/>
        </w:rPr>
        <w:t xml:space="preserve"> التطبيقية و </w:t>
      </w:r>
      <w:proofErr w:type="spellStart"/>
      <w:r>
        <w:rPr>
          <w:rFonts w:hint="cs"/>
          <w:sz w:val="28"/>
          <w:szCs w:val="28"/>
          <w:rtl/>
        </w:rPr>
        <w:t>الأنثربولوجية</w:t>
      </w:r>
      <w:proofErr w:type="spellEnd"/>
      <w:r>
        <w:rPr>
          <w:rFonts w:hint="cs"/>
          <w:sz w:val="28"/>
          <w:szCs w:val="28"/>
          <w:rtl/>
        </w:rPr>
        <w:t xml:space="preserve"> النظرية هو ما جعل من بريتشارد </w:t>
      </w:r>
      <w:proofErr w:type="spellStart"/>
      <w:r>
        <w:rPr>
          <w:rFonts w:hint="cs"/>
          <w:sz w:val="28"/>
          <w:szCs w:val="28"/>
          <w:rtl/>
        </w:rPr>
        <w:t>أنثروبولوجياً</w:t>
      </w:r>
      <w:proofErr w:type="spellEnd"/>
      <w:r>
        <w:rPr>
          <w:rFonts w:hint="cs"/>
          <w:sz w:val="28"/>
          <w:szCs w:val="28"/>
          <w:rtl/>
        </w:rPr>
        <w:t xml:space="preserve">  و مؤرخاً </w:t>
      </w:r>
      <w:proofErr w:type="spellStart"/>
      <w:r>
        <w:rPr>
          <w:rFonts w:hint="cs"/>
          <w:sz w:val="28"/>
          <w:szCs w:val="28"/>
          <w:rtl/>
        </w:rPr>
        <w:t>للأنثربولوجيا</w:t>
      </w:r>
      <w:proofErr w:type="spellEnd"/>
      <w:r>
        <w:rPr>
          <w:rFonts w:hint="cs"/>
          <w:sz w:val="28"/>
          <w:szCs w:val="28"/>
          <w:rtl/>
        </w:rPr>
        <w:t xml:space="preserve"> في نفس الوقت. كما أن </w:t>
      </w:r>
      <w:proofErr w:type="spellStart"/>
      <w:r>
        <w:rPr>
          <w:rFonts w:hint="cs"/>
          <w:sz w:val="28"/>
          <w:szCs w:val="28"/>
          <w:rtl/>
        </w:rPr>
        <w:t>الأنثربولوجيا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الأنجلوسكسونية</w:t>
      </w:r>
      <w:proofErr w:type="spellEnd"/>
      <w:r>
        <w:rPr>
          <w:rFonts w:hint="cs"/>
          <w:sz w:val="28"/>
          <w:szCs w:val="28"/>
          <w:rtl/>
        </w:rPr>
        <w:t xml:space="preserve"> تخلي مكانها تدريجيا لمقاربة أقل طموحا، تعتبر فيها أن </w:t>
      </w:r>
      <w:proofErr w:type="spellStart"/>
      <w:r>
        <w:rPr>
          <w:rFonts w:hint="cs"/>
          <w:sz w:val="28"/>
          <w:szCs w:val="28"/>
          <w:rtl/>
        </w:rPr>
        <w:t>الأنثربولوجيا</w:t>
      </w:r>
      <w:proofErr w:type="spellEnd"/>
      <w:r>
        <w:rPr>
          <w:rFonts w:hint="cs"/>
          <w:sz w:val="28"/>
          <w:szCs w:val="28"/>
          <w:rtl/>
        </w:rPr>
        <w:t xml:space="preserve"> و </w:t>
      </w:r>
      <w:proofErr w:type="spellStart"/>
      <w:r>
        <w:rPr>
          <w:rFonts w:hint="cs"/>
          <w:sz w:val="28"/>
          <w:szCs w:val="28"/>
          <w:rtl/>
        </w:rPr>
        <w:t>السوسيولوجيا</w:t>
      </w:r>
      <w:proofErr w:type="spellEnd"/>
      <w:r>
        <w:rPr>
          <w:rFonts w:hint="cs"/>
          <w:sz w:val="28"/>
          <w:szCs w:val="28"/>
          <w:rtl/>
        </w:rPr>
        <w:t xml:space="preserve"> علمين شقيقين. لكن لكل منهما ميدانه الخاص و الاختلاف يكمن في كون أن مسعى </w:t>
      </w:r>
      <w:proofErr w:type="spellStart"/>
      <w:r>
        <w:rPr>
          <w:rFonts w:hint="cs"/>
          <w:sz w:val="28"/>
          <w:szCs w:val="28"/>
          <w:rtl/>
        </w:rPr>
        <w:t>الأنثربولوجيا</w:t>
      </w:r>
      <w:proofErr w:type="spellEnd"/>
      <w:r>
        <w:rPr>
          <w:rFonts w:hint="cs"/>
          <w:sz w:val="28"/>
          <w:szCs w:val="28"/>
          <w:rtl/>
        </w:rPr>
        <w:t xml:space="preserve"> كما وضع أسسها البريطانيون مسعى عام لا يقتصر على فهم بنيات و أنماط السلوك الاجتماعي داخل المجتمعات البدائية فحسب بل يتوخى فهم الإنسان على وجه العموم.                                                                        </w:t>
      </w:r>
      <w:r w:rsidRPr="003F2C98">
        <w:rPr>
          <w:rFonts w:hint="cs"/>
          <w:color w:val="FF0000"/>
          <w:sz w:val="28"/>
          <w:szCs w:val="28"/>
          <w:rtl/>
        </w:rPr>
        <w:t>3/</w:t>
      </w:r>
      <w:r w:rsidRPr="003F2C98">
        <w:rPr>
          <w:rFonts w:hint="cs"/>
          <w:color w:val="FF0000"/>
          <w:sz w:val="32"/>
          <w:szCs w:val="32"/>
          <w:rtl/>
        </w:rPr>
        <w:t>بريتشارد و منهج المقارنة:</w:t>
      </w:r>
      <w:r w:rsidRPr="003F2C98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يدعو إلى ضرورة التّدرج في الدراسة، من المجتمعات البسيطة إلى المجتمعات المركبة .                                                                                              فتعريف </w:t>
      </w:r>
      <w:proofErr w:type="spellStart"/>
      <w:r>
        <w:rPr>
          <w:rFonts w:hint="cs"/>
          <w:sz w:val="28"/>
          <w:szCs w:val="28"/>
          <w:rtl/>
        </w:rPr>
        <w:t>الأنثربولوجيا</w:t>
      </w:r>
      <w:proofErr w:type="spellEnd"/>
      <w:r>
        <w:rPr>
          <w:rFonts w:hint="cs"/>
          <w:sz w:val="28"/>
          <w:szCs w:val="28"/>
          <w:rtl/>
        </w:rPr>
        <w:t xml:space="preserve"> انطلاقا من موضوعها يجعل منها </w:t>
      </w:r>
      <w:proofErr w:type="spellStart"/>
      <w:r>
        <w:rPr>
          <w:rFonts w:hint="cs"/>
          <w:sz w:val="28"/>
          <w:szCs w:val="28"/>
          <w:rtl/>
        </w:rPr>
        <w:t>سوسيولوجيا</w:t>
      </w:r>
      <w:proofErr w:type="spellEnd"/>
      <w:r>
        <w:rPr>
          <w:rFonts w:hint="cs"/>
          <w:sz w:val="28"/>
          <w:szCs w:val="28"/>
          <w:rtl/>
        </w:rPr>
        <w:t xml:space="preserve"> خاصة أو فرع من فروع </w:t>
      </w:r>
      <w:proofErr w:type="spellStart"/>
      <w:r>
        <w:rPr>
          <w:rFonts w:hint="cs"/>
          <w:sz w:val="28"/>
          <w:szCs w:val="28"/>
          <w:rtl/>
        </w:rPr>
        <w:t>السوسيولوجيا</w:t>
      </w:r>
      <w:proofErr w:type="spellEnd"/>
      <w:r>
        <w:rPr>
          <w:rFonts w:hint="cs"/>
          <w:sz w:val="28"/>
          <w:szCs w:val="28"/>
          <w:rtl/>
        </w:rPr>
        <w:t xml:space="preserve">، إلا أن الحدود الفاصلة بينهما تكمن في :                                                         </w:t>
      </w:r>
      <w:r w:rsidRPr="003F2C98">
        <w:rPr>
          <w:rFonts w:hint="cs"/>
          <w:color w:val="FF0000"/>
          <w:sz w:val="28"/>
          <w:szCs w:val="28"/>
          <w:rtl/>
        </w:rPr>
        <w:t>4/</w:t>
      </w:r>
      <w:proofErr w:type="spellStart"/>
      <w:r w:rsidRPr="003F2C98">
        <w:rPr>
          <w:rFonts w:hint="cs"/>
          <w:color w:val="FF0000"/>
          <w:sz w:val="32"/>
          <w:szCs w:val="32"/>
          <w:rtl/>
        </w:rPr>
        <w:t>إيفانز</w:t>
      </w:r>
      <w:proofErr w:type="spellEnd"/>
      <w:r w:rsidRPr="003F2C98">
        <w:rPr>
          <w:rFonts w:hint="cs"/>
          <w:color w:val="FF0000"/>
          <w:sz w:val="32"/>
          <w:szCs w:val="32"/>
          <w:rtl/>
        </w:rPr>
        <w:t xml:space="preserve"> بريتشارد و التاريخ:</w:t>
      </w:r>
      <w:r>
        <w:rPr>
          <w:rFonts w:hint="cs"/>
          <w:sz w:val="28"/>
          <w:szCs w:val="28"/>
          <w:rtl/>
        </w:rPr>
        <w:t xml:space="preserve"> قلنا أن </w:t>
      </w:r>
      <w:proofErr w:type="spellStart"/>
      <w:r>
        <w:rPr>
          <w:rFonts w:hint="cs"/>
          <w:sz w:val="28"/>
          <w:szCs w:val="28"/>
          <w:rtl/>
        </w:rPr>
        <w:t>براون</w:t>
      </w:r>
      <w:proofErr w:type="spellEnd"/>
      <w:r>
        <w:rPr>
          <w:rFonts w:hint="cs"/>
          <w:sz w:val="28"/>
          <w:szCs w:val="28"/>
          <w:rtl/>
        </w:rPr>
        <w:t xml:space="preserve"> رفض التفسيرات التاريخية القائمة على التّأملات الظّنية،        و لكلنه كان </w:t>
      </w:r>
      <w:r w:rsidRPr="00FC60D0">
        <w:rPr>
          <w:rFonts w:hint="cs"/>
          <w:sz w:val="28"/>
          <w:szCs w:val="28"/>
          <w:rtl/>
        </w:rPr>
        <w:t>يصر</w:t>
      </w:r>
      <w:r>
        <w:rPr>
          <w:rFonts w:hint="cs"/>
          <w:sz w:val="28"/>
          <w:szCs w:val="28"/>
          <w:rtl/>
        </w:rPr>
        <w:t xml:space="preserve"> على أن رفضه هذا لا يرجع إلى كونها تاريخية و إنما لكونها ظنية.                             و لكن </w:t>
      </w:r>
      <w:proofErr w:type="spellStart"/>
      <w:r>
        <w:rPr>
          <w:rFonts w:hint="cs"/>
          <w:sz w:val="28"/>
          <w:szCs w:val="28"/>
          <w:rtl/>
        </w:rPr>
        <w:t>مالينوفسكي</w:t>
      </w:r>
      <w:proofErr w:type="spellEnd"/>
      <w:r>
        <w:rPr>
          <w:rFonts w:hint="cs"/>
          <w:sz w:val="28"/>
          <w:szCs w:val="28"/>
          <w:rtl/>
        </w:rPr>
        <w:t xml:space="preserve"> كان يرفض التّفسيرات التّاريخية حتى عندما كان الاتجاه التّاريخي يفرض نفسه في دراسة التّغير الاجتماعي و التّسرب الثّقافي من خلال البحث عن نقطة الصفر أو الاستعانة بذكريات كبار السّن، أما </w:t>
      </w:r>
      <w:r w:rsidRPr="00A65E9B">
        <w:rPr>
          <w:rFonts w:hint="cs"/>
          <w:sz w:val="28"/>
          <w:szCs w:val="28"/>
          <w:rtl/>
        </w:rPr>
        <w:t xml:space="preserve">ماكس </w:t>
      </w:r>
      <w:proofErr w:type="spellStart"/>
      <w:r w:rsidRPr="00A65E9B">
        <w:rPr>
          <w:rFonts w:hint="cs"/>
          <w:sz w:val="28"/>
          <w:szCs w:val="28"/>
          <w:rtl/>
        </w:rPr>
        <w:t>كلاكمان</w:t>
      </w:r>
      <w:proofErr w:type="spellEnd"/>
      <w:r>
        <w:rPr>
          <w:rFonts w:hint="cs"/>
          <w:sz w:val="28"/>
          <w:szCs w:val="28"/>
          <w:rtl/>
        </w:rPr>
        <w:t xml:space="preserve">   يعتبر أن </w:t>
      </w:r>
      <w:proofErr w:type="spellStart"/>
      <w:r>
        <w:rPr>
          <w:rFonts w:hint="cs"/>
          <w:sz w:val="28"/>
          <w:szCs w:val="28"/>
          <w:rtl/>
        </w:rPr>
        <w:t>مالينوفسكي</w:t>
      </w:r>
      <w:proofErr w:type="spellEnd"/>
      <w:r>
        <w:rPr>
          <w:rFonts w:hint="cs"/>
          <w:sz w:val="28"/>
          <w:szCs w:val="28"/>
          <w:rtl/>
        </w:rPr>
        <w:t xml:space="preserve"> لم يهمل الاتجاه التّاريخي لأن رفضه يتناقض مع استخدامه المستمر له في كل ما يقوم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من تحليلات جيدة.                                                            أما بريتشارد فكان يعتبر أن </w:t>
      </w:r>
      <w:proofErr w:type="spellStart"/>
      <w:r>
        <w:rPr>
          <w:rFonts w:hint="cs"/>
          <w:sz w:val="28"/>
          <w:szCs w:val="28"/>
          <w:rtl/>
        </w:rPr>
        <w:t>الأنثربولوجيا</w:t>
      </w:r>
      <w:proofErr w:type="spellEnd"/>
      <w:r>
        <w:rPr>
          <w:rFonts w:hint="cs"/>
          <w:sz w:val="28"/>
          <w:szCs w:val="28"/>
          <w:rtl/>
        </w:rPr>
        <w:t xml:space="preserve"> الاجتماعية أقرب إلى بعض فروع الدّراسات التّاريخية منها إلى أي من العلوم الطّبيعية مع بعض الفروق الطفيفة، منها:                                                 1/</w:t>
      </w:r>
      <w:r w:rsidRPr="00120BDD"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الأنثربولوجيا</w:t>
      </w:r>
      <w:proofErr w:type="spellEnd"/>
      <w:r>
        <w:rPr>
          <w:rFonts w:hint="cs"/>
          <w:sz w:val="28"/>
          <w:szCs w:val="28"/>
          <w:rtl/>
        </w:rPr>
        <w:t xml:space="preserve"> تدرس الحياة الاجتماعية من الواقع مباشرة، بينما يدرسها التّاريخ بطريقة غير مباشرة، أي من الوثائق المدونة و غيرها من المصادر.                                                                 2/</w:t>
      </w:r>
      <w:r w:rsidRPr="00120BD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تدرس </w:t>
      </w:r>
      <w:proofErr w:type="spellStart"/>
      <w:r>
        <w:rPr>
          <w:rFonts w:hint="cs"/>
          <w:sz w:val="28"/>
          <w:szCs w:val="28"/>
          <w:rtl/>
        </w:rPr>
        <w:t>الأنثربولوجيا</w:t>
      </w:r>
      <w:proofErr w:type="spellEnd"/>
      <w:r>
        <w:rPr>
          <w:rFonts w:hint="cs"/>
          <w:sz w:val="28"/>
          <w:szCs w:val="28"/>
          <w:rtl/>
        </w:rPr>
        <w:t xml:space="preserve"> المجتمعات البسيطة حتى و إن لم يكن لديها تاريخ مدون، كما أنها تهدف إلى معالجة مواضيعها بدرجة أعلى من التّجربة بغرض الوصول إلى المقارنة و التّعميم، و هو ما لا يتوفر في الدّراسات التّاريخية.                                                                                                3/ إذا كان المؤرخون يدرسون الوقائع التي حدثت في أزمان متوالية، فإن </w:t>
      </w:r>
      <w:proofErr w:type="spellStart"/>
      <w:r>
        <w:rPr>
          <w:rFonts w:hint="cs"/>
          <w:sz w:val="28"/>
          <w:szCs w:val="28"/>
          <w:rtl/>
        </w:rPr>
        <w:t>الأنثربولوجيين</w:t>
      </w:r>
      <w:proofErr w:type="spellEnd"/>
      <w:r>
        <w:rPr>
          <w:rFonts w:hint="cs"/>
          <w:sz w:val="28"/>
          <w:szCs w:val="28"/>
          <w:rtl/>
        </w:rPr>
        <w:t xml:space="preserve"> يزيدون على ذلك دراسة المشكلات و الموضوعات المتزامنة، أي التي تقع في فترة زمنية محددة.                              _ و من الدّراسات التي ظهر فيها استخدام الاتجاه التّاريخي بشكل واضح لدى بريتشارد "السّنوسية في برقة عام 1949" و التي عالج فيها نمو الدّعوة السّنوسية من النّاحيتين السّياسية و الدّينية و كان حريصا في بديتها على أن يقول:"إنني لا أحاول كتابة تاريخ برقة، وإنما أتابع فقط نمو السّنوسية بين القبائل البدوية في المنطقة" بحيث أن فصول الكتاب تناولت فكرة الالتقاء بين الحركة من جهة و أتباعها من جهة أخرى. </w:t>
      </w:r>
      <w:proofErr w:type="gramStart"/>
      <w:r>
        <w:rPr>
          <w:rFonts w:hint="cs"/>
          <w:sz w:val="28"/>
          <w:szCs w:val="28"/>
          <w:rtl/>
        </w:rPr>
        <w:t>ثم</w:t>
      </w:r>
      <w:proofErr w:type="gramEnd"/>
      <w:r>
        <w:rPr>
          <w:rFonts w:hint="cs"/>
          <w:sz w:val="28"/>
          <w:szCs w:val="28"/>
          <w:rtl/>
        </w:rPr>
        <w:t xml:space="preserve"> الدّور الوظيفي الذي قامت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بعد هذا الالتقاء عندما تحولت الظروف إلى مواجهة مع الثّقافة الغربية الدّخيلة في صورة الغزو الإيطالي لليبيا سنة 1911.                                                            ثم تطرق إلى نشأة و انتشار السّنوسية</w:t>
      </w:r>
      <w:r>
        <w:rPr>
          <w:rFonts w:ascii="Calibri" w:hAnsi="Calibri"/>
          <w:sz w:val="28"/>
          <w:szCs w:val="28"/>
          <w:rtl/>
        </w:rPr>
        <w:t>←</w:t>
      </w:r>
      <w:r>
        <w:rPr>
          <w:rFonts w:hint="cs"/>
          <w:sz w:val="28"/>
          <w:szCs w:val="28"/>
          <w:rtl/>
        </w:rPr>
        <w:t xml:space="preserve">البدو في برقة </w:t>
      </w:r>
      <w:r>
        <w:rPr>
          <w:rFonts w:ascii="Calibri" w:hAnsi="Calibri"/>
          <w:sz w:val="28"/>
          <w:szCs w:val="28"/>
          <w:rtl/>
        </w:rPr>
        <w:t>←</w:t>
      </w:r>
      <w:r>
        <w:rPr>
          <w:rFonts w:hint="cs"/>
          <w:sz w:val="28"/>
          <w:szCs w:val="28"/>
          <w:rtl/>
        </w:rPr>
        <w:t xml:space="preserve"> السّنوسية و القبائل  </w:t>
      </w:r>
      <w:r>
        <w:rPr>
          <w:rFonts w:ascii="Calibri" w:hAnsi="Calibri"/>
          <w:sz w:val="28"/>
          <w:szCs w:val="28"/>
          <w:rtl/>
        </w:rPr>
        <w:t>←</w:t>
      </w:r>
      <w:r>
        <w:rPr>
          <w:rFonts w:ascii="Calibri" w:hAnsi="Calibri" w:hint="cs"/>
          <w:sz w:val="28"/>
          <w:szCs w:val="28"/>
          <w:rtl/>
        </w:rPr>
        <w:t>الحكم التّركي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Calibri" w:hAnsi="Calibri"/>
          <w:sz w:val="28"/>
          <w:szCs w:val="28"/>
          <w:rtl/>
        </w:rPr>
        <w:t>←</w:t>
      </w:r>
      <w:r>
        <w:rPr>
          <w:rFonts w:ascii="Calibri" w:hAnsi="Calibri" w:hint="cs"/>
          <w:sz w:val="28"/>
          <w:szCs w:val="28"/>
          <w:rtl/>
        </w:rPr>
        <w:t xml:space="preserve"> </w:t>
      </w:r>
      <w:r>
        <w:rPr>
          <w:rFonts w:ascii="Calibri" w:hAnsi="Calibri" w:hint="cs"/>
          <w:sz w:val="28"/>
          <w:szCs w:val="28"/>
          <w:rtl/>
        </w:rPr>
        <w:lastRenderedPageBreak/>
        <w:t>الحرب الإيطالية السّنوسية. إذ لم يكن من الممكن أن يظهر إيفا نز بريتشارد هذا النموذج الواضح لانبثاق الدور السياسي لإحدى الحركات الدّينية إلا من خلال المعالجة التاريخية لموضوع البحث.</w:t>
      </w:r>
      <w:r>
        <w:rPr>
          <w:rFonts w:hint="cs"/>
          <w:sz w:val="28"/>
          <w:szCs w:val="28"/>
          <w:rtl/>
        </w:rPr>
        <w:t xml:space="preserve">                       </w:t>
      </w:r>
      <w:r w:rsidRPr="00FC60D0">
        <w:rPr>
          <w:rFonts w:hint="cs"/>
          <w:color w:val="FF0000"/>
          <w:sz w:val="28"/>
          <w:szCs w:val="28"/>
          <w:rtl/>
        </w:rPr>
        <w:t>5/</w:t>
      </w:r>
      <w:r w:rsidRPr="003F2C98">
        <w:rPr>
          <w:rFonts w:hint="cs"/>
          <w:color w:val="FF0000"/>
          <w:sz w:val="32"/>
          <w:szCs w:val="32"/>
          <w:rtl/>
        </w:rPr>
        <w:t>قبائل النوير النظرية الانقسامية</w:t>
      </w:r>
      <w:r w:rsidRPr="003F2C98">
        <w:rPr>
          <w:rFonts w:hint="cs"/>
          <w:color w:val="FF0000"/>
          <w:sz w:val="28"/>
          <w:szCs w:val="28"/>
          <w:rtl/>
        </w:rPr>
        <w:t xml:space="preserve"> </w:t>
      </w:r>
      <w:r w:rsidRPr="003F2C98">
        <w:rPr>
          <w:rFonts w:hint="cs"/>
          <w:color w:val="FF0000"/>
          <w:sz w:val="32"/>
          <w:szCs w:val="32"/>
          <w:rtl/>
        </w:rPr>
        <w:t>:</w:t>
      </w:r>
      <w:r w:rsidRPr="003F2C98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8"/>
          <w:szCs w:val="28"/>
          <w:rtl/>
        </w:rPr>
        <w:t>(التميز بين طبيعة البنية و مبدأ عملها)                                                                                                    نوّه بريتشارد في كتابه "</w:t>
      </w:r>
      <w:proofErr w:type="spellStart"/>
      <w:r>
        <w:rPr>
          <w:rFonts w:hint="cs"/>
          <w:sz w:val="28"/>
          <w:szCs w:val="28"/>
          <w:rtl/>
        </w:rPr>
        <w:t>الانتربولوجيا</w:t>
      </w:r>
      <w:proofErr w:type="spellEnd"/>
      <w:r>
        <w:rPr>
          <w:rFonts w:hint="cs"/>
          <w:sz w:val="28"/>
          <w:szCs w:val="28"/>
          <w:rtl/>
        </w:rPr>
        <w:t xml:space="preserve"> الاجتماعية" بأهمية إسهام </w:t>
      </w:r>
      <w:proofErr w:type="spellStart"/>
      <w:r>
        <w:rPr>
          <w:rFonts w:hint="cs"/>
          <w:sz w:val="28"/>
          <w:szCs w:val="28"/>
          <w:rtl/>
        </w:rPr>
        <w:t>مونتسكيو</w:t>
      </w:r>
      <w:proofErr w:type="spellEnd"/>
      <w:r>
        <w:rPr>
          <w:rFonts w:hint="cs"/>
          <w:sz w:val="28"/>
          <w:szCs w:val="28"/>
          <w:rtl/>
        </w:rPr>
        <w:t xml:space="preserve"> في نشأة </w:t>
      </w:r>
      <w:proofErr w:type="spellStart"/>
      <w:r>
        <w:rPr>
          <w:rFonts w:hint="cs"/>
          <w:sz w:val="28"/>
          <w:szCs w:val="28"/>
          <w:rtl/>
        </w:rPr>
        <w:t>الأنتربولوجيا</w:t>
      </w:r>
      <w:proofErr w:type="spellEnd"/>
      <w:r>
        <w:rPr>
          <w:rFonts w:hint="cs"/>
          <w:sz w:val="28"/>
          <w:szCs w:val="28"/>
          <w:rtl/>
        </w:rPr>
        <w:t xml:space="preserve"> الاجتماعية و التمهيد لها .                                                                                                               ومن بين الأفكار العديدة التي اشتمل عليها كتابه الخالد "روح الأرواح"، شدد بريتشارد على فكرتين أساسيتين :                                                                                                                                 1) حالة الترابط و التبعية المتبادلة بين ظواهر المجتمع بحيث لا يمكن فهم القانون الدستوري الجنائي   و القانون الدستوري المدني الدوليين إلا في ضوء علاقتهما بالبيئة الطبيعية التي تعيش في كنفها المجموعة السكانية قيد الدراسة ،و عدد أفرادها و اقتصادها و معتقداتها الدينية و أعرافها  والممارسات التي تميز أفرادها، و استعدادهم الخاص، و كل هذه العلاقات تشكل في النهاية ما يسميه </w:t>
      </w:r>
      <w:proofErr w:type="spellStart"/>
      <w:r>
        <w:rPr>
          <w:rFonts w:hint="cs"/>
          <w:sz w:val="28"/>
          <w:szCs w:val="28"/>
          <w:rtl/>
        </w:rPr>
        <w:t>مونتسكيو</w:t>
      </w:r>
      <w:proofErr w:type="spellEnd"/>
      <w:r>
        <w:rPr>
          <w:rFonts w:hint="cs"/>
          <w:sz w:val="28"/>
          <w:szCs w:val="28"/>
          <w:rtl/>
        </w:rPr>
        <w:t xml:space="preserve">:"روح القوانين".                                                                                                  2)التميز الذي يقيمه </w:t>
      </w:r>
      <w:proofErr w:type="spellStart"/>
      <w:r>
        <w:rPr>
          <w:rFonts w:hint="cs"/>
          <w:sz w:val="28"/>
          <w:szCs w:val="28"/>
          <w:rtl/>
        </w:rPr>
        <w:t>مونتسكيو</w:t>
      </w:r>
      <w:proofErr w:type="spellEnd"/>
      <w:r>
        <w:rPr>
          <w:rFonts w:hint="cs"/>
          <w:sz w:val="28"/>
          <w:szCs w:val="28"/>
          <w:rtl/>
        </w:rPr>
        <w:t xml:space="preserve"> بين طبيعة نضام الحكم و مبادئه .  </w:t>
      </w:r>
      <w:r>
        <w:rPr>
          <w:sz w:val="28"/>
          <w:szCs w:val="28"/>
        </w:rPr>
        <w:t xml:space="preserve">                                                </w:t>
      </w:r>
    </w:p>
    <w:p w:rsidR="001C4D8A" w:rsidRPr="00A65E9B" w:rsidRDefault="001C4D8A" w:rsidP="001C4D8A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الجدول الآتي</w:t>
      </w:r>
      <w:r>
        <w:rPr>
          <w:sz w:val="28"/>
          <w:szCs w:val="28"/>
        </w:rPr>
        <w:t xml:space="preserve">  </w:t>
      </w:r>
      <w:r>
        <w:rPr>
          <w:rFonts w:hint="cs"/>
          <w:sz w:val="28"/>
          <w:szCs w:val="28"/>
          <w:rtl/>
        </w:rPr>
        <w:t>لطبيعة البنية السياسية لقبائل النوير:</w:t>
      </w:r>
      <w:r>
        <w:rPr>
          <w:sz w:val="28"/>
          <w:szCs w:val="28"/>
          <w:lang w:val="en-US"/>
        </w:rPr>
        <w:t xml:space="preserve">                                                                                   </w:t>
      </w:r>
      <w:r>
        <w:rPr>
          <w:sz w:val="28"/>
          <w:szCs w:val="28"/>
        </w:rPr>
        <w:t>B</w:t>
      </w:r>
      <w:r>
        <w:rPr>
          <w:sz w:val="28"/>
          <w:szCs w:val="28"/>
          <w:lang w:val="en-US"/>
        </w:rPr>
        <w:t xml:space="preserve">                      </w:t>
      </w:r>
      <w:r>
        <w:rPr>
          <w:rFonts w:hint="cs"/>
          <w:sz w:val="28"/>
          <w:szCs w:val="28"/>
          <w:rtl/>
          <w:lang w:val="en-US"/>
        </w:rPr>
        <w:t xml:space="preserve">      </w:t>
      </w:r>
      <w:r>
        <w:rPr>
          <w:sz w:val="28"/>
          <w:szCs w:val="28"/>
          <w:lang w:val="en-US"/>
        </w:rPr>
        <w:t xml:space="preserve">      </w:t>
      </w:r>
      <w:r>
        <w:rPr>
          <w:rFonts w:hint="cs"/>
          <w:sz w:val="28"/>
          <w:szCs w:val="28"/>
          <w:rtl/>
          <w:lang w:val="en-US"/>
        </w:rPr>
        <w:t xml:space="preserve">          </w:t>
      </w:r>
      <w:r>
        <w:rPr>
          <w:sz w:val="28"/>
          <w:szCs w:val="28"/>
          <w:lang w:val="en-US"/>
        </w:rPr>
        <w:t>A</w:t>
      </w:r>
      <w:r>
        <w:rPr>
          <w:rFonts w:hint="cs"/>
          <w:sz w:val="28"/>
          <w:szCs w:val="28"/>
          <w:rtl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               </w:t>
      </w:r>
    </w:p>
    <w:p w:rsidR="001C4D8A" w:rsidRDefault="001C4D8A" w:rsidP="001C4D8A">
      <w:pPr>
        <w:tabs>
          <w:tab w:val="left" w:pos="987"/>
          <w:tab w:val="left" w:pos="1812"/>
          <w:tab w:val="left" w:pos="2382"/>
        </w:tabs>
        <w:bidi/>
        <w:rPr>
          <w:sz w:val="28"/>
          <w:szCs w:val="28"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</w:rPr>
        <w:t xml:space="preserve">Y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</w:t>
      </w:r>
    </w:p>
    <w:tbl>
      <w:tblPr>
        <w:tblStyle w:val="Grilledutableau"/>
        <w:bidiVisual/>
        <w:tblW w:w="0" w:type="auto"/>
        <w:tblInd w:w="873" w:type="dxa"/>
        <w:tblLook w:val="04A0"/>
      </w:tblPr>
      <w:tblGrid>
        <w:gridCol w:w="970"/>
        <w:gridCol w:w="958"/>
        <w:gridCol w:w="1769"/>
      </w:tblGrid>
      <w:tr w:rsidR="001C4D8A" w:rsidTr="00F608E1">
        <w:trPr>
          <w:trHeight w:val="803"/>
        </w:trPr>
        <w:tc>
          <w:tcPr>
            <w:tcW w:w="970" w:type="dxa"/>
          </w:tcPr>
          <w:p w:rsidR="001C4D8A" w:rsidRDefault="001C4D8A" w:rsidP="00F608E1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1C4D8A" w:rsidRDefault="001C4D8A" w:rsidP="00F608E1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1C4D8A" w:rsidRDefault="001C4D8A" w:rsidP="00F608E1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r w:rsidRPr="007C63D1">
              <w:rPr>
                <w:sz w:val="20"/>
                <w:szCs w:val="20"/>
              </w:rPr>
              <w:t>1</w:t>
            </w:r>
          </w:p>
          <w:p w:rsidR="001C4D8A" w:rsidRDefault="001C4D8A" w:rsidP="00F608E1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769" w:type="dxa"/>
            <w:vMerge w:val="restart"/>
          </w:tcPr>
          <w:p w:rsidR="001C4D8A" w:rsidRDefault="001C4D8A" w:rsidP="00F608E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C4D8A" w:rsidTr="00F608E1">
        <w:trPr>
          <w:trHeight w:val="834"/>
        </w:trPr>
        <w:tc>
          <w:tcPr>
            <w:tcW w:w="970" w:type="dxa"/>
          </w:tcPr>
          <w:p w:rsidR="001C4D8A" w:rsidRDefault="001C4D8A" w:rsidP="00F608E1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Z</w:t>
            </w:r>
            <w:r w:rsidRPr="007C63D1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  <w:vMerge w:val="restart"/>
          </w:tcPr>
          <w:p w:rsidR="001C4D8A" w:rsidRDefault="001C4D8A" w:rsidP="00F608E1">
            <w:pPr>
              <w:bidi/>
              <w:rPr>
                <w:sz w:val="28"/>
                <w:szCs w:val="28"/>
                <w:rtl/>
              </w:rPr>
            </w:pPr>
          </w:p>
          <w:p w:rsidR="001C4D8A" w:rsidRDefault="001C4D8A" w:rsidP="00F608E1">
            <w:pPr>
              <w:bidi/>
              <w:rPr>
                <w:sz w:val="28"/>
                <w:szCs w:val="28"/>
                <w:rtl/>
              </w:rPr>
            </w:pPr>
          </w:p>
          <w:p w:rsidR="001C4D8A" w:rsidRPr="00F46976" w:rsidRDefault="001C4D8A" w:rsidP="00F608E1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  <w:r w:rsidRPr="007C63D1">
              <w:rPr>
                <w:sz w:val="20"/>
                <w:szCs w:val="20"/>
              </w:rPr>
              <w:t>2</w:t>
            </w:r>
          </w:p>
        </w:tc>
        <w:tc>
          <w:tcPr>
            <w:tcW w:w="1769" w:type="dxa"/>
            <w:vMerge/>
          </w:tcPr>
          <w:p w:rsidR="001C4D8A" w:rsidRDefault="001C4D8A" w:rsidP="00F608E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C4D8A" w:rsidTr="00F608E1">
        <w:trPr>
          <w:trHeight w:val="705"/>
        </w:trPr>
        <w:tc>
          <w:tcPr>
            <w:tcW w:w="970" w:type="dxa"/>
          </w:tcPr>
          <w:p w:rsidR="001C4D8A" w:rsidRDefault="001C4D8A" w:rsidP="00F608E1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Pr="007C63D1">
              <w:rPr>
                <w:sz w:val="20"/>
                <w:szCs w:val="20"/>
              </w:rPr>
              <w:t>2</w:t>
            </w:r>
          </w:p>
          <w:p w:rsidR="001C4D8A" w:rsidRDefault="001C4D8A" w:rsidP="00F608E1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8" w:type="dxa"/>
            <w:vMerge/>
          </w:tcPr>
          <w:p w:rsidR="001C4D8A" w:rsidRDefault="001C4D8A" w:rsidP="00F608E1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769" w:type="dxa"/>
            <w:vMerge/>
          </w:tcPr>
          <w:p w:rsidR="001C4D8A" w:rsidRDefault="001C4D8A" w:rsidP="00F608E1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1C4D8A" w:rsidRPr="009A2233" w:rsidRDefault="001C4D8A" w:rsidP="001C4D8A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بحيث تمثل </w:t>
      </w:r>
      <w:r>
        <w:rPr>
          <w:sz w:val="28"/>
          <w:szCs w:val="28"/>
        </w:rPr>
        <w:t>A</w:t>
      </w:r>
      <w:r>
        <w:rPr>
          <w:rFonts w:hint="cs"/>
          <w:sz w:val="28"/>
          <w:szCs w:val="28"/>
          <w:rtl/>
          <w:lang w:val="en-US"/>
        </w:rPr>
        <w:t>و</w:t>
      </w:r>
      <w:r>
        <w:rPr>
          <w:sz w:val="28"/>
          <w:szCs w:val="28"/>
          <w:lang w:val="en-US"/>
        </w:rPr>
        <w:t>B</w:t>
      </w:r>
      <w:r>
        <w:rPr>
          <w:rFonts w:hint="cs"/>
          <w:sz w:val="28"/>
          <w:szCs w:val="28"/>
          <w:rtl/>
          <w:lang w:val="en-US"/>
        </w:rPr>
        <w:t xml:space="preserve"> القبائل و </w:t>
      </w:r>
      <w:r>
        <w:rPr>
          <w:sz w:val="28"/>
          <w:szCs w:val="28"/>
        </w:rPr>
        <w:t>X</w:t>
      </w:r>
      <w:r>
        <w:rPr>
          <w:rFonts w:hint="cs"/>
          <w:sz w:val="28"/>
          <w:szCs w:val="28"/>
          <w:rtl/>
          <w:lang w:val="en-US"/>
        </w:rPr>
        <w:t xml:space="preserve"> و</w:t>
      </w:r>
      <w:r>
        <w:rPr>
          <w:sz w:val="28"/>
          <w:szCs w:val="28"/>
        </w:rPr>
        <w:t>Y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العشائر .</w:t>
      </w:r>
      <w:proofErr w:type="gramEnd"/>
      <w:r>
        <w:rPr>
          <w:rFonts w:hint="cs"/>
          <w:sz w:val="28"/>
          <w:szCs w:val="28"/>
          <w:rtl/>
        </w:rPr>
        <w:t xml:space="preserve">                                                                                  </w:t>
      </w:r>
      <w:r>
        <w:rPr>
          <w:sz w:val="28"/>
          <w:szCs w:val="28"/>
        </w:rPr>
        <w:t>X</w:t>
      </w:r>
      <w:r w:rsidRPr="007C63D1">
        <w:rPr>
          <w:sz w:val="20"/>
          <w:szCs w:val="20"/>
        </w:rPr>
        <w:t>1</w:t>
      </w:r>
      <w:r>
        <w:rPr>
          <w:rFonts w:hint="cs"/>
          <w:sz w:val="28"/>
          <w:szCs w:val="28"/>
          <w:rtl/>
          <w:lang w:val="en-US"/>
        </w:rPr>
        <w:t xml:space="preserve"> و</w:t>
      </w:r>
      <w:r>
        <w:rPr>
          <w:sz w:val="28"/>
          <w:szCs w:val="28"/>
        </w:rPr>
        <w:t>Y</w:t>
      </w:r>
      <w:r w:rsidRPr="007C63D1">
        <w:rPr>
          <w:sz w:val="20"/>
          <w:szCs w:val="20"/>
        </w:rPr>
        <w:t>1</w:t>
      </w:r>
      <w:r>
        <w:rPr>
          <w:rFonts w:hint="cs"/>
          <w:sz w:val="28"/>
          <w:szCs w:val="28"/>
          <w:rtl/>
          <w:lang w:val="en-US"/>
        </w:rPr>
        <w:t xml:space="preserve"> </w:t>
      </w:r>
      <w:r>
        <w:rPr>
          <w:sz w:val="28"/>
          <w:szCs w:val="28"/>
        </w:rPr>
        <w:t>Y</w:t>
      </w:r>
      <w:r w:rsidRPr="007C63D1">
        <w:rPr>
          <w:sz w:val="20"/>
          <w:szCs w:val="20"/>
        </w:rPr>
        <w:t>2</w:t>
      </w:r>
      <w:r>
        <w:rPr>
          <w:rFonts w:hint="cs"/>
          <w:sz w:val="28"/>
          <w:szCs w:val="28"/>
          <w:rtl/>
          <w:lang w:val="en-US"/>
        </w:rPr>
        <w:t xml:space="preserve">سلالات عليا ثم </w:t>
      </w:r>
      <w:r>
        <w:rPr>
          <w:sz w:val="28"/>
          <w:szCs w:val="28"/>
        </w:rPr>
        <w:t>Z</w:t>
      </w:r>
      <w:r w:rsidRPr="007C63D1">
        <w:rPr>
          <w:sz w:val="20"/>
          <w:szCs w:val="20"/>
        </w:rPr>
        <w:t>1</w:t>
      </w:r>
      <w:r>
        <w:rPr>
          <w:rFonts w:hint="cs"/>
          <w:sz w:val="28"/>
          <w:szCs w:val="28"/>
          <w:rtl/>
          <w:lang w:val="en-US"/>
        </w:rPr>
        <w:t xml:space="preserve"> و </w:t>
      </w:r>
      <w:r>
        <w:rPr>
          <w:sz w:val="28"/>
          <w:szCs w:val="28"/>
        </w:rPr>
        <w:t>Z</w:t>
      </w:r>
      <w:r w:rsidRPr="007C63D1">
        <w:rPr>
          <w:sz w:val="20"/>
          <w:szCs w:val="20"/>
        </w:rPr>
        <w:t>2</w:t>
      </w:r>
      <w:r>
        <w:rPr>
          <w:rFonts w:hint="cs"/>
          <w:sz w:val="28"/>
          <w:szCs w:val="28"/>
          <w:rtl/>
          <w:lang w:val="en-US"/>
        </w:rPr>
        <w:t xml:space="preserve"> سلالات دنيا.                                                                                - تتميز البنية السياسية لقبائل النوير بطابعها الانقسامي، </w:t>
      </w:r>
      <w:proofErr w:type="spellStart"/>
      <w:r>
        <w:rPr>
          <w:rFonts w:hint="cs"/>
          <w:sz w:val="28"/>
          <w:szCs w:val="28"/>
          <w:rtl/>
          <w:lang w:val="en-US"/>
        </w:rPr>
        <w:t>يتماهى</w:t>
      </w:r>
      <w:proofErr w:type="spellEnd"/>
      <w:r>
        <w:rPr>
          <w:rFonts w:hint="cs"/>
          <w:sz w:val="28"/>
          <w:szCs w:val="28"/>
          <w:rtl/>
          <w:lang w:val="en-US"/>
        </w:rPr>
        <w:t xml:space="preserve"> فيها النظام السياسي بنظام القرابة .                                  - تتكافأ فيها الأجزاء و تتخذ طابعا </w:t>
      </w:r>
      <w:proofErr w:type="spellStart"/>
      <w:r>
        <w:rPr>
          <w:rFonts w:hint="cs"/>
          <w:sz w:val="28"/>
          <w:szCs w:val="28"/>
          <w:rtl/>
          <w:lang w:val="en-US"/>
        </w:rPr>
        <w:t>سلاليا</w:t>
      </w:r>
      <w:proofErr w:type="spellEnd"/>
      <w:r>
        <w:rPr>
          <w:rFonts w:hint="cs"/>
          <w:sz w:val="28"/>
          <w:szCs w:val="28"/>
          <w:rtl/>
          <w:lang w:val="en-US"/>
        </w:rPr>
        <w:t xml:space="preserve"> .                                                                                           - </w:t>
      </w:r>
      <w:proofErr w:type="gramStart"/>
      <w:r>
        <w:rPr>
          <w:rFonts w:hint="cs"/>
          <w:sz w:val="28"/>
          <w:szCs w:val="28"/>
          <w:rtl/>
          <w:lang w:val="en-US"/>
        </w:rPr>
        <w:t>للأجزاء</w:t>
      </w:r>
      <w:proofErr w:type="gramEnd"/>
      <w:r>
        <w:rPr>
          <w:rFonts w:hint="cs"/>
          <w:sz w:val="28"/>
          <w:szCs w:val="28"/>
          <w:rtl/>
          <w:lang w:val="en-US"/>
        </w:rPr>
        <w:t xml:space="preserve"> نفس الخصائص التي تميز القبائل فهي تحمل اسما خاصا </w:t>
      </w:r>
      <w:proofErr w:type="spellStart"/>
      <w:r>
        <w:rPr>
          <w:rFonts w:hint="cs"/>
          <w:sz w:val="28"/>
          <w:szCs w:val="28"/>
          <w:rtl/>
          <w:lang w:val="en-US"/>
        </w:rPr>
        <w:t>بها</w:t>
      </w:r>
      <w:proofErr w:type="spellEnd"/>
      <w:r>
        <w:rPr>
          <w:rFonts w:hint="cs"/>
          <w:sz w:val="28"/>
          <w:szCs w:val="28"/>
          <w:rtl/>
          <w:lang w:val="en-US"/>
        </w:rPr>
        <w:t xml:space="preserve">، و تمارس سيادتها فوق مجال ترابي محدد و يتمتع أفرادها بشعور مشترك.                                                                                                                        - تضيق هذه الأجزاء و تتسع بحسب الشروط </w:t>
      </w:r>
      <w:proofErr w:type="spellStart"/>
      <w:r>
        <w:rPr>
          <w:rFonts w:hint="cs"/>
          <w:sz w:val="28"/>
          <w:szCs w:val="28"/>
          <w:rtl/>
          <w:lang w:val="en-US"/>
        </w:rPr>
        <w:t>السوسيوسياسية</w:t>
      </w:r>
      <w:proofErr w:type="spellEnd"/>
      <w:r>
        <w:rPr>
          <w:rFonts w:hint="cs"/>
          <w:sz w:val="28"/>
          <w:szCs w:val="28"/>
          <w:rtl/>
          <w:lang w:val="en-US"/>
        </w:rPr>
        <w:t xml:space="preserve">،  تغيب فيها أي </w:t>
      </w:r>
      <w:proofErr w:type="spellStart"/>
      <w:r>
        <w:rPr>
          <w:rFonts w:hint="cs"/>
          <w:sz w:val="28"/>
          <w:szCs w:val="28"/>
          <w:rtl/>
          <w:lang w:val="en-US"/>
        </w:rPr>
        <w:t>تراتبية</w:t>
      </w:r>
      <w:proofErr w:type="spellEnd"/>
      <w:r>
        <w:rPr>
          <w:rFonts w:hint="cs"/>
          <w:sz w:val="28"/>
          <w:szCs w:val="28"/>
          <w:rtl/>
          <w:lang w:val="en-US"/>
        </w:rPr>
        <w:t xml:space="preserve"> سياسية، و لا وجود فيها لسلطة عليا، فنظام القرابة فيها بمثابة جسم بدون رأس </w:t>
      </w:r>
      <w:r>
        <w:rPr>
          <w:sz w:val="28"/>
          <w:szCs w:val="28"/>
        </w:rPr>
        <w:t>une parenté acéphale</w:t>
      </w:r>
      <w:r>
        <w:rPr>
          <w:rFonts w:hint="cs"/>
          <w:sz w:val="28"/>
          <w:szCs w:val="28"/>
          <w:rtl/>
          <w:lang w:val="en-US"/>
        </w:rPr>
        <w:t>.</w:t>
      </w:r>
    </w:p>
    <w:p w:rsidR="001C4D8A" w:rsidRPr="007C63D1" w:rsidRDefault="001C4D8A" w:rsidP="001C4D8A">
      <w:pPr>
        <w:bidi/>
        <w:ind w:firstLine="708"/>
        <w:rPr>
          <w:sz w:val="28"/>
          <w:szCs w:val="28"/>
        </w:rPr>
      </w:pPr>
    </w:p>
    <w:p w:rsidR="001A7C1F" w:rsidRPr="001C4D8A" w:rsidRDefault="001A7C1F" w:rsidP="001C4D8A">
      <w:pPr>
        <w:jc w:val="right"/>
        <w:rPr>
          <w:sz w:val="28"/>
          <w:szCs w:val="28"/>
        </w:rPr>
      </w:pPr>
    </w:p>
    <w:sectPr w:rsidR="001A7C1F" w:rsidRPr="001C4D8A" w:rsidSect="00A00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D8A"/>
    <w:rsid w:val="001A7C1F"/>
    <w:rsid w:val="001C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C4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1502</Words>
  <Characters>8263</Characters>
  <Application>Microsoft Office Word</Application>
  <DocSecurity>0</DocSecurity>
  <Lines>68</Lines>
  <Paragraphs>19</Paragraphs>
  <ScaleCrop>false</ScaleCrop>
  <Company/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2020-03-28T19:38:00Z</dcterms:created>
  <dcterms:modified xsi:type="dcterms:W3CDTF">2020-03-28T19:38:00Z</dcterms:modified>
</cp:coreProperties>
</file>