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CA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Enseignante : M</w:t>
      </w:r>
      <w:r>
        <w:rPr>
          <w:rFonts w:asciiTheme="majorBidi" w:hAnsiTheme="majorBidi" w:cstheme="majorBidi"/>
          <w:b/>
          <w:bCs/>
          <w:sz w:val="36"/>
          <w:szCs w:val="36"/>
          <w:vertAlign w:val="superscript"/>
        </w:rPr>
        <w:t xml:space="preserve">me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Brahimi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Kholkhal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Wahiba</w:t>
      </w:r>
      <w:proofErr w:type="spellEnd"/>
    </w:p>
    <w:p w:rsidR="00C475CA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Cours </w:t>
      </w: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:Partie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2 </w:t>
      </w:r>
    </w:p>
    <w:p w:rsidR="00C475CA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Module </w:t>
      </w: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:Mycologie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appliquée</w:t>
      </w:r>
    </w:p>
    <w:p w:rsidR="00C475CA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Promotion : Master 1 (Microbiologie et control de qualité)</w:t>
      </w:r>
    </w:p>
    <w:p w:rsidR="00C475CA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61780" w:rsidRPr="00DF1463" w:rsidRDefault="00C475CA" w:rsidP="002C1466">
      <w:pPr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2C1466" w:rsidRPr="00DF1463">
        <w:rPr>
          <w:rFonts w:asciiTheme="majorBidi" w:hAnsiTheme="majorBidi" w:cstheme="majorBidi"/>
          <w:b/>
          <w:bCs/>
          <w:sz w:val="36"/>
          <w:szCs w:val="36"/>
        </w:rPr>
        <w:t>Interaction avec d’autres microorganismes :</w:t>
      </w:r>
    </w:p>
    <w:p w:rsidR="005A795D" w:rsidRPr="00987EE6" w:rsidRDefault="00C475CA" w:rsidP="00DF1463">
      <w:pPr>
        <w:rPr>
          <w:rFonts w:asciiTheme="majorBidi" w:hAnsiTheme="majorBidi" w:cstheme="majorBidi"/>
          <w:sz w:val="28"/>
          <w:szCs w:val="28"/>
        </w:rPr>
      </w:pPr>
      <w:r w:rsidRPr="00987EE6">
        <w:rPr>
          <w:rFonts w:asciiTheme="majorBidi" w:hAnsiTheme="majorBidi" w:cstheme="majorBidi"/>
          <w:sz w:val="28"/>
          <w:szCs w:val="28"/>
        </w:rPr>
        <w:t>Chaque sous population tentera de s’imposer et utilisera et/ou produira des métabolites originaux.</w:t>
      </w:r>
    </w:p>
    <w:p w:rsidR="005A795D" w:rsidRPr="00987EE6" w:rsidRDefault="00C475CA" w:rsidP="00DF1463">
      <w:pPr>
        <w:ind w:left="720"/>
        <w:rPr>
          <w:rFonts w:asciiTheme="majorBidi" w:hAnsiTheme="majorBidi" w:cstheme="majorBidi"/>
          <w:sz w:val="28"/>
          <w:szCs w:val="28"/>
        </w:rPr>
      </w:pPr>
      <w:r w:rsidRPr="00987EE6">
        <w:rPr>
          <w:rFonts w:asciiTheme="majorBidi" w:hAnsiTheme="majorBidi" w:cstheme="majorBidi"/>
          <w:sz w:val="28"/>
          <w:szCs w:val="28"/>
        </w:rPr>
        <w:t>Il s’instaure entres les micro-organismes </w:t>
      </w:r>
      <w:r w:rsidRPr="00DF1463">
        <w:rPr>
          <w:rFonts w:asciiTheme="majorBidi" w:hAnsiTheme="majorBidi" w:cstheme="majorBidi"/>
          <w:b/>
          <w:bCs/>
          <w:color w:val="FF0000"/>
          <w:sz w:val="28"/>
          <w:szCs w:val="28"/>
        </w:rPr>
        <w:t>des relations positives :</w:t>
      </w:r>
    </w:p>
    <w:p w:rsidR="005A795D" w:rsidRPr="00987EE6" w:rsidRDefault="00C475CA" w:rsidP="00987EE6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987EE6">
        <w:rPr>
          <w:rFonts w:asciiTheme="majorBidi" w:hAnsiTheme="majorBidi" w:cstheme="majorBidi"/>
          <w:sz w:val="28"/>
          <w:szCs w:val="28"/>
          <w:u w:val="single"/>
        </w:rPr>
        <w:t>Mutualisme</w:t>
      </w:r>
      <w:r w:rsidRPr="00987EE6">
        <w:rPr>
          <w:rFonts w:asciiTheme="majorBidi" w:hAnsiTheme="majorBidi" w:cstheme="majorBidi"/>
          <w:sz w:val="28"/>
          <w:szCs w:val="28"/>
        </w:rPr>
        <w:t> :</w:t>
      </w:r>
      <w:r w:rsidRPr="00987EE6">
        <w:rPr>
          <w:rFonts w:asciiTheme="majorBidi" w:hAnsiTheme="majorBidi" w:cstheme="majorBidi"/>
          <w:b/>
          <w:bCs/>
          <w:i/>
          <w:iCs/>
          <w:sz w:val="28"/>
          <w:szCs w:val="28"/>
        </w:rPr>
        <w:t> </w:t>
      </w:r>
      <w:r w:rsidRPr="00987EE6">
        <w:rPr>
          <w:rFonts w:asciiTheme="majorBidi" w:hAnsiTheme="majorBidi" w:cstheme="majorBidi"/>
          <w:sz w:val="28"/>
          <w:szCs w:val="28"/>
        </w:rPr>
        <w:t>Les deux micro-organismes s’aident mutuellement.  le bénéfice est réciproque et obligatoire.</w:t>
      </w:r>
    </w:p>
    <w:p w:rsidR="005A795D" w:rsidRPr="00987EE6" w:rsidRDefault="00C475CA" w:rsidP="00987EE6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987EE6">
        <w:rPr>
          <w:rFonts w:asciiTheme="majorBidi" w:hAnsiTheme="majorBidi" w:cstheme="majorBidi"/>
          <w:sz w:val="28"/>
          <w:szCs w:val="28"/>
          <w:u w:val="single"/>
        </w:rPr>
        <w:t>Commensalisme</w:t>
      </w:r>
      <w:r w:rsidRPr="00987EE6">
        <w:rPr>
          <w:rFonts w:asciiTheme="majorBidi" w:hAnsiTheme="majorBidi" w:cstheme="majorBidi"/>
          <w:sz w:val="28"/>
          <w:szCs w:val="28"/>
        </w:rPr>
        <w:t> : Relation dans laquelle le commensal tire un avantage alors que l’autre n’est ni affecté ni aidé.</w:t>
      </w:r>
    </w:p>
    <w:p w:rsidR="00F176F9" w:rsidRPr="00DF1463" w:rsidRDefault="00F176F9" w:rsidP="00DF1463">
      <w:pPr>
        <w:ind w:left="720"/>
        <w:rPr>
          <w:rFonts w:asciiTheme="majorBidi" w:hAnsiTheme="majorBidi" w:cstheme="majorBidi"/>
          <w:color w:val="FF0000"/>
          <w:sz w:val="28"/>
          <w:szCs w:val="28"/>
        </w:rPr>
      </w:pPr>
      <w:r w:rsidRPr="00DF1463">
        <w:rPr>
          <w:rFonts w:asciiTheme="majorBidi" w:hAnsiTheme="majorBidi" w:cstheme="majorBidi"/>
          <w:b/>
          <w:bCs/>
          <w:color w:val="FF0000"/>
          <w:sz w:val="28"/>
          <w:szCs w:val="28"/>
        </w:rPr>
        <w:t>Et d’autres négatives :</w:t>
      </w:r>
    </w:p>
    <w:p w:rsidR="00F176F9" w:rsidRPr="00EF3F03" w:rsidRDefault="00F176F9" w:rsidP="00EF3F03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F3F03">
        <w:rPr>
          <w:rFonts w:asciiTheme="majorBidi" w:hAnsiTheme="majorBidi" w:cstheme="majorBidi"/>
          <w:i/>
          <w:iCs/>
          <w:sz w:val="28"/>
          <w:szCs w:val="28"/>
          <w:u w:val="single"/>
        </w:rPr>
        <w:t>Parasitisme</w:t>
      </w:r>
      <w:r w:rsidRPr="00EF3F03">
        <w:rPr>
          <w:rFonts w:asciiTheme="majorBidi" w:hAnsiTheme="majorBidi" w:cstheme="majorBidi"/>
          <w:sz w:val="28"/>
          <w:szCs w:val="28"/>
        </w:rPr>
        <w:t xml:space="preserve"> : 1 micro-organisme utilise au dépend de son hôte les métabolites que ce dernier </w:t>
      </w:r>
      <w:proofErr w:type="spellStart"/>
      <w:r w:rsidRPr="00EF3F03">
        <w:rPr>
          <w:rFonts w:asciiTheme="majorBidi" w:hAnsiTheme="majorBidi" w:cstheme="majorBidi"/>
          <w:sz w:val="28"/>
          <w:szCs w:val="28"/>
        </w:rPr>
        <w:t>produit.</w:t>
      </w:r>
      <w:r w:rsidR="00EF3F03">
        <w:rPr>
          <w:rFonts w:asciiTheme="majorBidi" w:hAnsiTheme="majorBidi" w:cstheme="majorBidi"/>
          <w:sz w:val="28"/>
          <w:szCs w:val="28"/>
        </w:rPr>
        <w:t>U</w:t>
      </w:r>
      <w:r w:rsidRPr="00EF3F03">
        <w:rPr>
          <w:rFonts w:asciiTheme="majorBidi" w:hAnsiTheme="majorBidi" w:cstheme="majorBidi"/>
          <w:sz w:val="28"/>
          <w:szCs w:val="28"/>
        </w:rPr>
        <w:t>ne</w:t>
      </w:r>
      <w:proofErr w:type="spellEnd"/>
      <w:r w:rsidRPr="00EF3F03">
        <w:rPr>
          <w:rFonts w:asciiTheme="majorBidi" w:hAnsiTheme="majorBidi" w:cstheme="majorBidi"/>
          <w:sz w:val="28"/>
          <w:szCs w:val="28"/>
        </w:rPr>
        <w:t xml:space="preserve"> pénétration des hyphes  du parasite dans les propagules (hyphes, conidies, sclérotes) suivie d’une lyse du cytoplasme. Deux exemples s’imposent ici : le parasitisme de certaines souches de </w:t>
      </w:r>
      <w:proofErr w:type="spellStart"/>
      <w:r w:rsidRPr="00EF3F03">
        <w:rPr>
          <w:rFonts w:asciiTheme="majorBidi" w:hAnsiTheme="majorBidi" w:cstheme="majorBidi"/>
          <w:i/>
          <w:iCs/>
          <w:sz w:val="28"/>
          <w:szCs w:val="28"/>
        </w:rPr>
        <w:t>Trichoderma</w:t>
      </w:r>
      <w:proofErr w:type="spellEnd"/>
      <w:r w:rsidRPr="00EF3F03">
        <w:rPr>
          <w:rFonts w:asciiTheme="majorBidi" w:hAnsiTheme="majorBidi" w:cstheme="majorBidi"/>
          <w:sz w:val="28"/>
          <w:szCs w:val="28"/>
        </w:rPr>
        <w:t> </w:t>
      </w:r>
      <w:proofErr w:type="spellStart"/>
      <w:r w:rsidRPr="00EF3F03">
        <w:rPr>
          <w:rFonts w:asciiTheme="majorBidi" w:hAnsiTheme="majorBidi" w:cstheme="majorBidi"/>
          <w:sz w:val="28"/>
          <w:szCs w:val="28"/>
        </w:rPr>
        <w:t>spp</w:t>
      </w:r>
      <w:proofErr w:type="spellEnd"/>
      <w:r w:rsidRPr="00EF3F03">
        <w:rPr>
          <w:rFonts w:asciiTheme="majorBidi" w:hAnsiTheme="majorBidi" w:cstheme="majorBidi"/>
          <w:sz w:val="28"/>
          <w:szCs w:val="28"/>
        </w:rPr>
        <w:t xml:space="preserve"> vis-à-vis des hyphes de </w:t>
      </w:r>
      <w:proofErr w:type="spellStart"/>
      <w:r w:rsidRPr="00EF3F03">
        <w:rPr>
          <w:rFonts w:asciiTheme="majorBidi" w:hAnsiTheme="majorBidi" w:cstheme="majorBidi"/>
          <w:i/>
          <w:iCs/>
          <w:sz w:val="28"/>
          <w:szCs w:val="28"/>
        </w:rPr>
        <w:t>Rhizoctonia</w:t>
      </w:r>
      <w:proofErr w:type="spellEnd"/>
      <w:r w:rsidRPr="00EF3F03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EF3F03">
        <w:rPr>
          <w:rFonts w:asciiTheme="majorBidi" w:hAnsiTheme="majorBidi" w:cstheme="majorBidi"/>
          <w:i/>
          <w:iCs/>
          <w:sz w:val="28"/>
          <w:szCs w:val="28"/>
        </w:rPr>
        <w:t>solani</w:t>
      </w:r>
      <w:proofErr w:type="spellEnd"/>
    </w:p>
    <w:p w:rsidR="00F176F9" w:rsidRPr="00F176F9" w:rsidRDefault="00F176F9" w:rsidP="00F176F9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F176F9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 Amensalisme</w:t>
      </w:r>
      <w:r w:rsidRPr="00F176F9">
        <w:rPr>
          <w:rFonts w:asciiTheme="majorBidi" w:hAnsiTheme="majorBidi" w:cstheme="majorBidi"/>
          <w:sz w:val="28"/>
          <w:szCs w:val="28"/>
        </w:rPr>
        <w:t> : 1 micro-organisme est inhibé dans sa croissance par un autre micro-organisme.</w:t>
      </w:r>
    </w:p>
    <w:p w:rsidR="00F176F9" w:rsidRPr="00F176F9" w:rsidRDefault="00F176F9" w:rsidP="00F176F9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F176F9">
        <w:rPr>
          <w:rFonts w:asciiTheme="majorBidi" w:hAnsiTheme="majorBidi" w:cstheme="majorBidi"/>
          <w:i/>
          <w:iCs/>
          <w:sz w:val="28"/>
          <w:szCs w:val="28"/>
          <w:u w:val="single"/>
        </w:rPr>
        <w:t>Compétition</w:t>
      </w:r>
      <w:r w:rsidRPr="00F176F9">
        <w:rPr>
          <w:rFonts w:asciiTheme="majorBidi" w:hAnsiTheme="majorBidi" w:cstheme="majorBidi"/>
          <w:sz w:val="28"/>
          <w:szCs w:val="28"/>
        </w:rPr>
        <w:t> : 2 micro-organismes utilisent la même ressource, il s’instaure alors une « lutte » pour celle-ci.</w:t>
      </w:r>
    </w:p>
    <w:p w:rsidR="002C1466" w:rsidRDefault="000E012C" w:rsidP="000E012C">
      <w:pPr>
        <w:rPr>
          <w:rFonts w:asciiTheme="majorBidi" w:hAnsiTheme="majorBidi" w:cstheme="majorBidi"/>
          <w:sz w:val="28"/>
          <w:szCs w:val="28"/>
        </w:rPr>
      </w:pPr>
      <w:r w:rsidRPr="000E012C">
        <w:rPr>
          <w:rFonts w:asciiTheme="majorBidi" w:hAnsiTheme="majorBidi" w:cstheme="majorBidi"/>
          <w:sz w:val="28"/>
          <w:szCs w:val="28"/>
        </w:rPr>
        <w:t>Mécanisme d’interaction</w:t>
      </w:r>
      <w:r>
        <w:rPr>
          <w:rFonts w:asciiTheme="majorBidi" w:hAnsiTheme="majorBidi" w:cstheme="majorBidi"/>
          <w:sz w:val="28"/>
          <w:szCs w:val="28"/>
        </w:rPr>
        <w:t> :</w:t>
      </w:r>
    </w:p>
    <w:p w:rsidR="005A795D" w:rsidRPr="00655B9F" w:rsidRDefault="00C475CA" w:rsidP="00655B9F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655B9F">
        <w:rPr>
          <w:rFonts w:asciiTheme="majorBidi" w:hAnsiTheme="majorBidi" w:cstheme="majorBidi"/>
          <w:i/>
          <w:iCs/>
          <w:sz w:val="28"/>
          <w:szCs w:val="28"/>
          <w:u w:val="single"/>
        </w:rPr>
        <w:t>Acidification</w:t>
      </w:r>
    </w:p>
    <w:p w:rsidR="00655B9F" w:rsidRPr="00EF3F03" w:rsidRDefault="00C475CA" w:rsidP="003A024D">
      <w:pPr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EF3F03">
        <w:rPr>
          <w:rFonts w:asciiTheme="majorBidi" w:hAnsiTheme="majorBidi" w:cstheme="majorBidi"/>
          <w:sz w:val="28"/>
          <w:szCs w:val="28"/>
        </w:rPr>
        <w:t xml:space="preserve"> </w:t>
      </w:r>
      <w:r w:rsidRPr="00EF3F03">
        <w:rPr>
          <w:rFonts w:asciiTheme="majorBidi" w:hAnsiTheme="majorBidi" w:cstheme="majorBidi"/>
          <w:i/>
          <w:iCs/>
          <w:sz w:val="28"/>
          <w:szCs w:val="28"/>
          <w:u w:val="single"/>
        </w:rPr>
        <w:t>Antagonisme :</w:t>
      </w:r>
      <w:r w:rsidR="00655B9F" w:rsidRPr="00EF3F03">
        <w:rPr>
          <w:rFonts w:asciiTheme="majorBidi" w:hAnsiTheme="majorBidi" w:cstheme="majorBidi"/>
          <w:sz w:val="28"/>
          <w:szCs w:val="28"/>
        </w:rPr>
        <w:t> </w:t>
      </w:r>
    </w:p>
    <w:p w:rsidR="005A795D" w:rsidRPr="00B17DAF" w:rsidRDefault="00C475CA" w:rsidP="00B17DAF">
      <w:pPr>
        <w:pStyle w:val="Paragraphedeliste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B17DAF">
        <w:rPr>
          <w:rFonts w:asciiTheme="majorBidi" w:hAnsiTheme="majorBidi" w:cstheme="majorBidi"/>
          <w:i/>
          <w:iCs/>
          <w:sz w:val="28"/>
          <w:szCs w:val="28"/>
          <w:u w:val="single"/>
        </w:rPr>
        <w:t xml:space="preserve">L’antagonisme de substrat </w:t>
      </w:r>
      <w:r w:rsidRPr="00B17DAF">
        <w:rPr>
          <w:rFonts w:asciiTheme="majorBidi" w:hAnsiTheme="majorBidi" w:cstheme="majorBidi"/>
          <w:sz w:val="28"/>
          <w:szCs w:val="28"/>
        </w:rPr>
        <w:t>résulte du fait de l’utilisation par plusieurs micro-organismes d’un même élément</w:t>
      </w:r>
    </w:p>
    <w:p w:rsidR="005A795D" w:rsidRPr="00B17DAF" w:rsidRDefault="00C475CA" w:rsidP="00B17DAF">
      <w:pPr>
        <w:pStyle w:val="Paragraphedeliste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B17DAF">
        <w:rPr>
          <w:rFonts w:asciiTheme="majorBidi" w:hAnsiTheme="majorBidi" w:cstheme="majorBidi"/>
          <w:i/>
          <w:iCs/>
          <w:sz w:val="28"/>
          <w:szCs w:val="28"/>
          <w:u w:val="single"/>
        </w:rPr>
        <w:lastRenderedPageBreak/>
        <w:t xml:space="preserve">L’antagonisme par antibiose </w:t>
      </w:r>
      <w:r w:rsidRPr="00B17DAF">
        <w:rPr>
          <w:rFonts w:asciiTheme="majorBidi" w:hAnsiTheme="majorBidi" w:cstheme="majorBidi"/>
          <w:sz w:val="28"/>
          <w:szCs w:val="28"/>
        </w:rPr>
        <w:t>repose sur la production par un microorganisme, de métabolites secondaires de nature diverse exerçant un effet toxique sur l’agent pathogène</w:t>
      </w:r>
      <w:r w:rsidR="00003624">
        <w:rPr>
          <w:rFonts w:asciiTheme="majorBidi" w:hAnsiTheme="majorBidi" w:cstheme="majorBidi"/>
          <w:sz w:val="28"/>
          <w:szCs w:val="28"/>
        </w:rPr>
        <w:t xml:space="preserve"> (Figure 1)</w:t>
      </w:r>
      <w:r w:rsidRPr="00B17DAF">
        <w:rPr>
          <w:rFonts w:asciiTheme="majorBidi" w:hAnsiTheme="majorBidi" w:cstheme="majorBidi"/>
          <w:sz w:val="28"/>
          <w:szCs w:val="28"/>
        </w:rPr>
        <w:t>.</w:t>
      </w:r>
    </w:p>
    <w:p w:rsidR="005A795D" w:rsidRPr="00B17DAF" w:rsidRDefault="00C475CA" w:rsidP="00B17DAF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B17DAF">
        <w:rPr>
          <w:rFonts w:asciiTheme="majorBidi" w:hAnsiTheme="majorBidi" w:cstheme="majorBidi"/>
          <w:i/>
          <w:iCs/>
          <w:sz w:val="28"/>
          <w:szCs w:val="28"/>
          <w:u w:val="single"/>
        </w:rPr>
        <w:t>Synergie de substrat </w:t>
      </w:r>
    </w:p>
    <w:p w:rsidR="00655B9F" w:rsidRPr="00655B9F" w:rsidRDefault="00655B9F" w:rsidP="00655B9F">
      <w:pPr>
        <w:rPr>
          <w:rFonts w:asciiTheme="majorBidi" w:hAnsiTheme="majorBidi" w:cstheme="majorBidi"/>
          <w:sz w:val="28"/>
          <w:szCs w:val="28"/>
        </w:rPr>
      </w:pPr>
      <w:r w:rsidRPr="00655B9F">
        <w:rPr>
          <w:rFonts w:asciiTheme="majorBidi" w:hAnsiTheme="majorBidi" w:cstheme="majorBidi"/>
          <w:sz w:val="28"/>
          <w:szCs w:val="28"/>
        </w:rPr>
        <w:t>La synergie de substrat s’illustre à la fois positivement et négativement.</w:t>
      </w:r>
    </w:p>
    <w:p w:rsidR="00655B9F" w:rsidRPr="00655B9F" w:rsidRDefault="00655B9F" w:rsidP="00655B9F">
      <w:pPr>
        <w:rPr>
          <w:rFonts w:asciiTheme="majorBidi" w:hAnsiTheme="majorBidi" w:cstheme="majorBidi"/>
          <w:sz w:val="28"/>
          <w:szCs w:val="28"/>
        </w:rPr>
      </w:pPr>
      <w:r w:rsidRPr="00003624">
        <w:rPr>
          <w:rFonts w:asciiTheme="majorBidi" w:hAnsiTheme="majorBidi" w:cstheme="majorBidi"/>
          <w:color w:val="FF0000"/>
          <w:sz w:val="28"/>
          <w:szCs w:val="28"/>
        </w:rPr>
        <w:t xml:space="preserve">Positivement </w:t>
      </w:r>
      <w:r w:rsidRPr="00655B9F">
        <w:rPr>
          <w:rFonts w:asciiTheme="majorBidi" w:hAnsiTheme="majorBidi" w:cstheme="majorBidi"/>
          <w:sz w:val="28"/>
          <w:szCs w:val="28"/>
        </w:rPr>
        <w:t xml:space="preserve">d’abord, un microorganisme va transformer un substrat en un autre substrat qui sera disponible pour un autre  </w:t>
      </w:r>
    </w:p>
    <w:p w:rsidR="00655B9F" w:rsidRPr="00655B9F" w:rsidRDefault="00655B9F" w:rsidP="00655B9F">
      <w:pPr>
        <w:rPr>
          <w:rFonts w:asciiTheme="majorBidi" w:hAnsiTheme="majorBidi" w:cstheme="majorBidi"/>
          <w:sz w:val="28"/>
          <w:szCs w:val="28"/>
        </w:rPr>
      </w:pPr>
      <w:r w:rsidRPr="00003624">
        <w:rPr>
          <w:rFonts w:asciiTheme="majorBidi" w:hAnsiTheme="majorBidi" w:cstheme="majorBidi"/>
          <w:color w:val="FF0000"/>
          <w:sz w:val="28"/>
          <w:szCs w:val="28"/>
        </w:rPr>
        <w:t>Négativement</w:t>
      </w:r>
      <w:r w:rsidRPr="00655B9F">
        <w:rPr>
          <w:rFonts w:asciiTheme="majorBidi" w:hAnsiTheme="majorBidi" w:cstheme="majorBidi"/>
          <w:sz w:val="28"/>
          <w:szCs w:val="28"/>
        </w:rPr>
        <w:t>, car  le microorganisme qui synthétise ce composé peut  lui même l’utiliser. Il doit produire pour deux plutôt que seulement pour lui-même.</w:t>
      </w:r>
    </w:p>
    <w:p w:rsidR="00655B9F" w:rsidRPr="00003624" w:rsidRDefault="00655B9F" w:rsidP="00003624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003624">
        <w:rPr>
          <w:rFonts w:asciiTheme="majorBidi" w:hAnsiTheme="majorBidi" w:cstheme="majorBidi"/>
          <w:i/>
          <w:iCs/>
          <w:sz w:val="28"/>
          <w:szCs w:val="28"/>
          <w:u w:val="single"/>
        </w:rPr>
        <w:t>Actions de substances inhibitrices</w:t>
      </w:r>
      <w:r w:rsidRPr="00003624">
        <w:rPr>
          <w:rFonts w:asciiTheme="majorBidi" w:hAnsiTheme="majorBidi" w:cstheme="majorBidi"/>
          <w:sz w:val="28"/>
          <w:szCs w:val="28"/>
        </w:rPr>
        <w:t xml:space="preserve">  </w:t>
      </w:r>
    </w:p>
    <w:p w:rsidR="0054398F" w:rsidRDefault="0054398F" w:rsidP="00655B9F">
      <w:pPr>
        <w:rPr>
          <w:rFonts w:asciiTheme="majorBidi" w:hAnsiTheme="majorBidi" w:cstheme="majorBidi"/>
          <w:sz w:val="28"/>
          <w:szCs w:val="28"/>
        </w:rPr>
      </w:pPr>
    </w:p>
    <w:p w:rsidR="0054398F" w:rsidRPr="00EE6D5C" w:rsidRDefault="0054398F" w:rsidP="0054398F">
      <w:pPr>
        <w:rPr>
          <w:rFonts w:asciiTheme="majorBidi" w:hAnsiTheme="majorBidi" w:cstheme="majorBidi"/>
          <w:b/>
          <w:bCs/>
          <w:sz w:val="36"/>
          <w:szCs w:val="36"/>
        </w:rPr>
      </w:pPr>
      <w:r w:rsidRPr="00EE6D5C">
        <w:rPr>
          <w:rFonts w:asciiTheme="majorBidi" w:hAnsiTheme="majorBidi" w:cstheme="majorBidi"/>
          <w:b/>
          <w:bCs/>
          <w:sz w:val="36"/>
          <w:szCs w:val="36"/>
        </w:rPr>
        <w:t>Importance des mycètes :</w:t>
      </w:r>
    </w:p>
    <w:p w:rsidR="005A795D" w:rsidRDefault="00C475CA" w:rsidP="00DD202B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DD202B">
        <w:rPr>
          <w:rFonts w:asciiTheme="majorBidi" w:hAnsiTheme="majorBidi" w:cstheme="majorBidi"/>
          <w:sz w:val="28"/>
          <w:szCs w:val="28"/>
        </w:rPr>
        <w:t>Le recyclage de la matière organique dans la chaine alimentaire (décomposeur).</w:t>
      </w:r>
    </w:p>
    <w:p w:rsidR="00EE6D5C" w:rsidRPr="00DD202B" w:rsidRDefault="00EE6D5C" w:rsidP="00EE6D5C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038600" cy="3766468"/>
            <wp:effectExtent l="0" t="0" r="0" b="5715"/>
            <wp:docPr id="5" name="Espace réservé du contenu 4" descr="1879801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187980140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76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5A795D" w:rsidRDefault="00C475CA" w:rsidP="00DD202B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DD202B">
        <w:rPr>
          <w:rFonts w:asciiTheme="majorBidi" w:hAnsiTheme="majorBidi" w:cstheme="majorBidi"/>
          <w:sz w:val="28"/>
          <w:szCs w:val="28"/>
        </w:rPr>
        <w:t>L’alimentation humaine (</w:t>
      </w:r>
      <w:proofErr w:type="spellStart"/>
      <w:r w:rsidRPr="00DD202B">
        <w:rPr>
          <w:rFonts w:asciiTheme="majorBidi" w:hAnsiTheme="majorBidi" w:cstheme="majorBidi"/>
          <w:i/>
          <w:iCs/>
          <w:sz w:val="28"/>
          <w:szCs w:val="28"/>
        </w:rPr>
        <w:t>Agaricus</w:t>
      </w:r>
      <w:proofErr w:type="spellEnd"/>
      <w:r w:rsidRPr="00DD202B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DD202B">
        <w:rPr>
          <w:rFonts w:asciiTheme="majorBidi" w:hAnsiTheme="majorBidi" w:cstheme="majorBidi"/>
          <w:i/>
          <w:iCs/>
          <w:sz w:val="28"/>
          <w:szCs w:val="28"/>
        </w:rPr>
        <w:t>bisporis</w:t>
      </w:r>
      <w:proofErr w:type="spellEnd"/>
      <w:r w:rsidRPr="00DD202B">
        <w:rPr>
          <w:rFonts w:asciiTheme="majorBidi" w:hAnsiTheme="majorBidi" w:cstheme="majorBidi"/>
          <w:sz w:val="28"/>
          <w:szCs w:val="28"/>
        </w:rPr>
        <w:t>)</w:t>
      </w:r>
    </w:p>
    <w:p w:rsidR="00EE6D5C" w:rsidRPr="00DD202B" w:rsidRDefault="00EE6D5C" w:rsidP="00EE6D5C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131447" cy="2690368"/>
            <wp:effectExtent l="0" t="0" r="0" b="0"/>
            <wp:docPr id="7" name="Espace réservé du contenu 6" descr="1109671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 descr="11096713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738" cy="27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95D" w:rsidRDefault="00C475CA" w:rsidP="00DD202B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DD202B">
        <w:rPr>
          <w:rFonts w:asciiTheme="majorBidi" w:hAnsiTheme="majorBidi" w:cstheme="majorBidi"/>
          <w:sz w:val="28"/>
          <w:szCs w:val="28"/>
        </w:rPr>
        <w:t>L’industrie agroalimentaire (fromage, boulangerie)</w:t>
      </w:r>
    </w:p>
    <w:p w:rsidR="00EE6D5C" w:rsidRPr="00DD202B" w:rsidRDefault="00EE6D5C" w:rsidP="009971E7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 w:rsidRPr="00DD202B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3952240" cy="2638096"/>
            <wp:effectExtent l="0" t="0" r="0" b="0"/>
            <wp:docPr id="1026" name="Pictur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43" cy="264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5A795D" w:rsidRDefault="00C475CA" w:rsidP="00DD202B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DD202B">
        <w:rPr>
          <w:rFonts w:asciiTheme="majorBidi" w:hAnsiTheme="majorBidi" w:cstheme="majorBidi"/>
          <w:sz w:val="28"/>
          <w:szCs w:val="28"/>
        </w:rPr>
        <w:t>Industrie pharmaceutique (antibiotique, vitamine, enzyme)</w:t>
      </w:r>
    </w:p>
    <w:p w:rsidR="00EE6D5C" w:rsidRPr="00DD202B" w:rsidRDefault="00EE6D5C" w:rsidP="00EE6D5C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71485" cy="3636579"/>
            <wp:effectExtent l="0" t="0" r="5715" b="2540"/>
            <wp:docPr id="1028" name="Picture 4" descr="Résultat de recherche d'images pour &quot;penicillium chrysogenu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ésultat de recherche d'images pour &quot;penicillium chrysogenum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85" cy="363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9971E7" w:rsidRDefault="009971E7" w:rsidP="009971E7">
      <w:pPr>
        <w:rPr>
          <w:rFonts w:asciiTheme="majorBidi" w:hAnsiTheme="majorBidi" w:cstheme="majorBidi"/>
          <w:sz w:val="28"/>
          <w:szCs w:val="28"/>
        </w:rPr>
      </w:pP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9971E7" w:rsidRDefault="00C475CA" w:rsidP="009971E7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9971E7">
        <w:rPr>
          <w:rFonts w:asciiTheme="majorBidi" w:hAnsiTheme="majorBidi" w:cstheme="majorBidi"/>
          <w:sz w:val="28"/>
          <w:szCs w:val="28"/>
        </w:rPr>
        <w:t xml:space="preserve">Lutte </w:t>
      </w:r>
      <w:proofErr w:type="gramStart"/>
      <w:r w:rsidRPr="009971E7">
        <w:rPr>
          <w:rFonts w:asciiTheme="majorBidi" w:hAnsiTheme="majorBidi" w:cstheme="majorBidi"/>
          <w:sz w:val="28"/>
          <w:szCs w:val="28"/>
        </w:rPr>
        <w:t>biologique(</w:t>
      </w:r>
      <w:proofErr w:type="gramEnd"/>
      <w:r w:rsidRPr="009971E7">
        <w:rPr>
          <w:rFonts w:asciiTheme="majorBidi" w:hAnsiTheme="majorBidi" w:cstheme="majorBidi"/>
          <w:sz w:val="28"/>
          <w:szCs w:val="28"/>
        </w:rPr>
        <w:t xml:space="preserve">antagonisme, </w:t>
      </w:r>
      <w:proofErr w:type="spellStart"/>
      <w:r w:rsidRPr="009971E7">
        <w:rPr>
          <w:rFonts w:asciiTheme="majorBidi" w:hAnsiTheme="majorBidi" w:cstheme="majorBidi"/>
          <w:sz w:val="28"/>
          <w:szCs w:val="28"/>
        </w:rPr>
        <w:t>entomopathogène</w:t>
      </w:r>
      <w:proofErr w:type="spellEnd"/>
      <w:r w:rsidRPr="009971E7">
        <w:rPr>
          <w:rFonts w:asciiTheme="majorBidi" w:hAnsiTheme="majorBidi" w:cstheme="majorBidi"/>
          <w:sz w:val="28"/>
          <w:szCs w:val="28"/>
        </w:rPr>
        <w:t>)</w:t>
      </w:r>
    </w:p>
    <w:p w:rsidR="00EE6D5C" w:rsidRPr="009971E7" w:rsidRDefault="00EE6D5C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119485" cy="3300248"/>
            <wp:effectExtent l="0" t="0" r="5080" b="0"/>
            <wp:docPr id="1" name="Espace réservé du contenu 4" descr="8779_trichoviri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8779_trichovirid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9653" cy="33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E7" w:rsidRDefault="009971E7" w:rsidP="009971E7">
      <w:pPr>
        <w:ind w:left="720"/>
        <w:rPr>
          <w:rFonts w:asciiTheme="majorBidi" w:hAnsiTheme="majorBidi" w:cstheme="majorBidi"/>
          <w:sz w:val="28"/>
          <w:szCs w:val="28"/>
        </w:rPr>
      </w:pPr>
    </w:p>
    <w:p w:rsidR="009971E7" w:rsidRPr="009971E7" w:rsidRDefault="009971E7" w:rsidP="00087CA3">
      <w:pPr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proofErr w:type="spellStart"/>
      <w:r w:rsidRPr="009971E7">
        <w:rPr>
          <w:rFonts w:asciiTheme="majorBidi" w:hAnsiTheme="majorBidi" w:cstheme="majorBidi"/>
          <w:sz w:val="28"/>
          <w:szCs w:val="28"/>
        </w:rPr>
        <w:t>B</w:t>
      </w:r>
      <w:r w:rsidR="00C475CA" w:rsidRPr="009971E7">
        <w:rPr>
          <w:rFonts w:asciiTheme="majorBidi" w:hAnsiTheme="majorBidi" w:cstheme="majorBidi"/>
          <w:sz w:val="28"/>
          <w:szCs w:val="28"/>
        </w:rPr>
        <w:t>ioremédiation</w:t>
      </w:r>
      <w:proofErr w:type="spellEnd"/>
    </w:p>
    <w:p w:rsidR="003F2EFD" w:rsidRDefault="003F2EFD" w:rsidP="00EE6D5C">
      <w:pPr>
        <w:jc w:val="center"/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4340773" cy="3310255"/>
            <wp:effectExtent l="0" t="0" r="3175" b="4445"/>
            <wp:docPr id="6" name="Espace réservé du contenu 5" descr="mushroom-far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mushroom-farm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395" cy="33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FD" w:rsidRDefault="003F2EFD" w:rsidP="003F2EFD">
      <w:pPr>
        <w:rPr>
          <w:rFonts w:asciiTheme="majorBidi" w:hAnsiTheme="majorBidi" w:cstheme="majorBidi"/>
          <w:sz w:val="28"/>
          <w:szCs w:val="28"/>
        </w:rPr>
      </w:pPr>
    </w:p>
    <w:p w:rsidR="003F2EFD" w:rsidRDefault="003F2EFD" w:rsidP="003F2EFD">
      <w:pPr>
        <w:rPr>
          <w:rFonts w:asciiTheme="majorBidi" w:hAnsiTheme="majorBidi" w:cstheme="majorBidi"/>
          <w:sz w:val="28"/>
          <w:szCs w:val="28"/>
        </w:rPr>
      </w:pPr>
    </w:p>
    <w:p w:rsidR="00F73CC9" w:rsidRDefault="00F73CC9" w:rsidP="003F2EFD">
      <w:pPr>
        <w:rPr>
          <w:rFonts w:asciiTheme="majorBidi" w:hAnsiTheme="majorBidi" w:cstheme="majorBidi"/>
          <w:sz w:val="28"/>
          <w:szCs w:val="28"/>
        </w:rPr>
      </w:pPr>
    </w:p>
    <w:p w:rsidR="003F2EFD" w:rsidRPr="00F73CC9" w:rsidRDefault="003F2EFD" w:rsidP="003F2EFD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73CC9">
        <w:rPr>
          <w:rFonts w:asciiTheme="majorBidi" w:hAnsiTheme="majorBidi" w:cstheme="majorBidi"/>
          <w:b/>
          <w:bCs/>
          <w:sz w:val="36"/>
          <w:szCs w:val="36"/>
        </w:rPr>
        <w:t>Les champignons sont partout : sol, eau et air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 xml:space="preserve">*En profondeur  </w:t>
      </w:r>
      <w:proofErr w:type="gramStart"/>
      <w:r w:rsidRPr="003F2EFD">
        <w:rPr>
          <w:rFonts w:asciiTheme="majorBidi" w:hAnsiTheme="majorBidi" w:cstheme="majorBidi"/>
          <w:sz w:val="28"/>
          <w:szCs w:val="28"/>
        </w:rPr>
        <w:t>du croute terrestre (3000m</w:t>
      </w:r>
      <w:proofErr w:type="gramEnd"/>
      <w:r w:rsidRPr="003F2EFD">
        <w:rPr>
          <w:rFonts w:asciiTheme="majorBidi" w:hAnsiTheme="majorBidi" w:cstheme="majorBidi"/>
          <w:sz w:val="28"/>
          <w:szCs w:val="28"/>
        </w:rPr>
        <w:t>)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*Sous la glace, les plaques de neiges fondantes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*En fond océanique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*A 60 Km d’hauteur dans l’atmosphère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*Dans les roches à 3200m de profondeur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*Poussent aussi dans les stalactites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>*Les sols volcaniques les abritent aussi</w:t>
      </w:r>
    </w:p>
    <w:p w:rsidR="003F2EFD" w:rsidRPr="003F2EFD" w:rsidRDefault="003F2EFD" w:rsidP="003F2EFD">
      <w:p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 xml:space="preserve">*Les plages, les marais salants, les eaux douces, les roches, les eaux minières, les eaux usées, les cavernes, les huiles </w:t>
      </w:r>
      <w:proofErr w:type="spellStart"/>
      <w:r w:rsidRPr="003F2EFD">
        <w:rPr>
          <w:rFonts w:asciiTheme="majorBidi" w:hAnsiTheme="majorBidi" w:cstheme="majorBidi"/>
          <w:sz w:val="28"/>
          <w:szCs w:val="28"/>
        </w:rPr>
        <w:t>minirales</w:t>
      </w:r>
      <w:proofErr w:type="spellEnd"/>
    </w:p>
    <w:p w:rsidR="003F2EFD" w:rsidRPr="00F73CC9" w:rsidRDefault="003F2EFD" w:rsidP="003F2EFD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73CC9">
        <w:rPr>
          <w:rFonts w:asciiTheme="majorBidi" w:hAnsiTheme="majorBidi" w:cstheme="majorBidi"/>
          <w:b/>
          <w:bCs/>
          <w:sz w:val="36"/>
          <w:szCs w:val="36"/>
        </w:rPr>
        <w:t>Structure des champignons :</w:t>
      </w:r>
    </w:p>
    <w:p w:rsidR="005A795D" w:rsidRPr="003F2EFD" w:rsidRDefault="00F73CC9" w:rsidP="00F73CC9">
      <w:pPr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C475CA" w:rsidRPr="003F2EFD">
        <w:rPr>
          <w:rFonts w:asciiTheme="majorBidi" w:hAnsiTheme="majorBidi" w:cstheme="majorBidi"/>
          <w:sz w:val="28"/>
          <w:szCs w:val="28"/>
        </w:rPr>
        <w:t>halle des champignon</w:t>
      </w:r>
      <w:r>
        <w:rPr>
          <w:rFonts w:asciiTheme="majorBidi" w:hAnsiTheme="majorBidi" w:cstheme="majorBidi"/>
          <w:sz w:val="28"/>
          <w:szCs w:val="28"/>
        </w:rPr>
        <w:t>s </w:t>
      </w:r>
      <w:proofErr w:type="gramStart"/>
      <w:r>
        <w:rPr>
          <w:rFonts w:asciiTheme="majorBidi" w:hAnsiTheme="majorBidi" w:cstheme="majorBidi"/>
          <w:sz w:val="28"/>
          <w:szCs w:val="28"/>
        </w:rPr>
        <w:t>:i</w:t>
      </w:r>
      <w:r w:rsidR="00C475CA" w:rsidRPr="003F2EFD">
        <w:rPr>
          <w:rFonts w:asciiTheme="majorBidi" w:hAnsiTheme="majorBidi" w:cstheme="majorBidi"/>
          <w:sz w:val="28"/>
          <w:szCs w:val="28"/>
        </w:rPr>
        <w:t>l</w:t>
      </w:r>
      <w:proofErr w:type="gramEnd"/>
      <w:r w:rsidR="00C475CA" w:rsidRPr="003F2EFD">
        <w:rPr>
          <w:rFonts w:asciiTheme="majorBidi" w:hAnsiTheme="majorBidi" w:cstheme="majorBidi"/>
          <w:sz w:val="28"/>
          <w:szCs w:val="28"/>
        </w:rPr>
        <w:t xml:space="preserve"> peut prendre différentes formes:</w:t>
      </w:r>
    </w:p>
    <w:p w:rsidR="005A795D" w:rsidRPr="003F2EFD" w:rsidRDefault="00F73CC9" w:rsidP="003F2EFD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Thalle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plasmodiale</w:t>
      </w:r>
      <w:proofErr w:type="spellEnd"/>
      <w:r>
        <w:rPr>
          <w:rFonts w:asciiTheme="majorBidi" w:hAnsiTheme="majorBidi" w:cstheme="majorBidi"/>
          <w:sz w:val="28"/>
          <w:szCs w:val="28"/>
        </w:rPr>
        <w:t>(</w:t>
      </w:r>
      <w:proofErr w:type="gramEnd"/>
      <w:r>
        <w:rPr>
          <w:rFonts w:asciiTheme="majorBidi" w:hAnsiTheme="majorBidi" w:cstheme="majorBidi"/>
          <w:sz w:val="28"/>
          <w:szCs w:val="28"/>
        </w:rPr>
        <w:t>figure 2) : myxomycètes</w:t>
      </w:r>
    </w:p>
    <w:p w:rsidR="005A795D" w:rsidRPr="003F2EFD" w:rsidRDefault="00C475CA" w:rsidP="003F2EFD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 xml:space="preserve">Thalle </w:t>
      </w:r>
      <w:proofErr w:type="gramStart"/>
      <w:r w:rsidRPr="003F2EFD">
        <w:rPr>
          <w:rFonts w:asciiTheme="majorBidi" w:hAnsiTheme="majorBidi" w:cstheme="majorBidi"/>
          <w:sz w:val="28"/>
          <w:szCs w:val="28"/>
        </w:rPr>
        <w:t>unicellulaire</w:t>
      </w:r>
      <w:r w:rsidR="00F73CC9">
        <w:rPr>
          <w:rFonts w:asciiTheme="majorBidi" w:hAnsiTheme="majorBidi" w:cstheme="majorBidi"/>
          <w:sz w:val="28"/>
          <w:szCs w:val="28"/>
        </w:rPr>
        <w:t>(</w:t>
      </w:r>
      <w:proofErr w:type="gramEnd"/>
      <w:r w:rsidR="00F73CC9">
        <w:rPr>
          <w:rFonts w:asciiTheme="majorBidi" w:hAnsiTheme="majorBidi" w:cstheme="majorBidi"/>
          <w:sz w:val="28"/>
          <w:szCs w:val="28"/>
        </w:rPr>
        <w:t>figure 3) : levure</w:t>
      </w:r>
    </w:p>
    <w:p w:rsidR="005A795D" w:rsidRPr="003F2EFD" w:rsidRDefault="00C475CA" w:rsidP="00F73CC9">
      <w:pPr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3F2EFD">
        <w:rPr>
          <w:rFonts w:asciiTheme="majorBidi" w:hAnsiTheme="majorBidi" w:cstheme="majorBidi"/>
          <w:sz w:val="28"/>
          <w:szCs w:val="28"/>
        </w:rPr>
        <w:t xml:space="preserve">Thalle pluricellulaire filamenteux </w:t>
      </w:r>
      <w:r w:rsidR="00F73CC9">
        <w:rPr>
          <w:rFonts w:asciiTheme="majorBidi" w:hAnsiTheme="majorBidi" w:cstheme="majorBidi"/>
          <w:sz w:val="28"/>
          <w:szCs w:val="28"/>
        </w:rPr>
        <w:t>(figure 4) : les autres</w:t>
      </w:r>
    </w:p>
    <w:p w:rsidR="005A795D" w:rsidRPr="00F73CC9" w:rsidRDefault="00C475CA" w:rsidP="00F73CC9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F73CC9">
        <w:rPr>
          <w:rFonts w:asciiTheme="majorBidi" w:hAnsiTheme="majorBidi" w:cstheme="majorBidi"/>
          <w:sz w:val="28"/>
          <w:szCs w:val="28"/>
        </w:rPr>
        <w:t xml:space="preserve">Plasmode: masse cytoplasmique molle, déformable sans paroi squelettique et </w:t>
      </w:r>
      <w:proofErr w:type="spellStart"/>
      <w:r w:rsidRPr="00F73CC9">
        <w:rPr>
          <w:rFonts w:asciiTheme="majorBidi" w:hAnsiTheme="majorBidi" w:cstheme="majorBidi"/>
          <w:sz w:val="28"/>
          <w:szCs w:val="28"/>
        </w:rPr>
        <w:t>multinuclée</w:t>
      </w:r>
      <w:proofErr w:type="spellEnd"/>
      <w:r w:rsidRPr="00F73CC9">
        <w:rPr>
          <w:rFonts w:asciiTheme="majorBidi" w:hAnsiTheme="majorBidi" w:cstheme="majorBidi"/>
          <w:sz w:val="28"/>
          <w:szCs w:val="28"/>
        </w:rPr>
        <w:t xml:space="preserve"> </w:t>
      </w:r>
    </w:p>
    <w:p w:rsidR="005A795D" w:rsidRPr="00F73CC9" w:rsidRDefault="00C475CA" w:rsidP="00F73CC9">
      <w:pPr>
        <w:pStyle w:val="Paragraphedeliste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proofErr w:type="spellStart"/>
      <w:r w:rsidRPr="00F73CC9">
        <w:rPr>
          <w:rFonts w:asciiTheme="majorBidi" w:hAnsiTheme="majorBidi" w:cstheme="majorBidi"/>
          <w:sz w:val="28"/>
          <w:szCs w:val="28"/>
        </w:rPr>
        <w:t>Thalle:Un</w:t>
      </w:r>
      <w:proofErr w:type="spellEnd"/>
      <w:r w:rsidRPr="00F73CC9">
        <w:rPr>
          <w:rFonts w:asciiTheme="majorBidi" w:hAnsiTheme="majorBidi" w:cstheme="majorBidi"/>
          <w:sz w:val="28"/>
          <w:szCs w:val="28"/>
        </w:rPr>
        <w:t xml:space="preserve"> enchevêtrement de nombreux filaments très fins et ramifiés </w:t>
      </w:r>
    </w:p>
    <w:p w:rsidR="003F2EFD" w:rsidRDefault="003F2EFD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714380" cy="2396359"/>
            <wp:effectExtent l="0" t="0" r="635" b="4445"/>
            <wp:docPr id="2" name="Espace réservé du contenu 4" descr="Hemitrichia_serpula_579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Hemitrichia_serpula_5795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380" cy="23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C9" w:rsidRDefault="00F73CC9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Figue </w:t>
      </w:r>
      <w:proofErr w:type="gramStart"/>
      <w:r>
        <w:rPr>
          <w:rFonts w:asciiTheme="majorBidi" w:hAnsiTheme="majorBidi" w:cstheme="majorBidi"/>
          <w:sz w:val="28"/>
          <w:szCs w:val="28"/>
        </w:rPr>
        <w:t>2 .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Myxomycètes</w:t>
      </w:r>
    </w:p>
    <w:p w:rsidR="00AD371C" w:rsidRDefault="00AD371C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000528" cy="2786082"/>
            <wp:effectExtent l="0" t="0" r="0" b="0"/>
            <wp:docPr id="3" name="Espace réservé du contenu 5" descr="téléchargement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téléchargement (1)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28" cy="27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C9" w:rsidRDefault="00F73CC9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Figure 3.Levure</w:t>
      </w:r>
    </w:p>
    <w:p w:rsidR="00AD371C" w:rsidRDefault="00AD371C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00528" cy="2928958"/>
            <wp:effectExtent l="0" t="0" r="0" b="5080"/>
            <wp:docPr id="8" name="Picture 2" descr="C:\Users\wahiba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ahiba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292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CC9" w:rsidRPr="003F2EFD" w:rsidRDefault="00F73CC9" w:rsidP="00F73CC9">
      <w:pPr>
        <w:ind w:left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Figure </w:t>
      </w:r>
      <w:proofErr w:type="gramStart"/>
      <w:r>
        <w:rPr>
          <w:rFonts w:asciiTheme="majorBidi" w:hAnsiTheme="majorBidi" w:cstheme="majorBidi"/>
          <w:sz w:val="28"/>
          <w:szCs w:val="28"/>
        </w:rPr>
        <w:t>4 .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Les champignons filamenteux</w:t>
      </w:r>
    </w:p>
    <w:p w:rsidR="003F2EFD" w:rsidRDefault="003F2EFD" w:rsidP="003F2EFD">
      <w:pPr>
        <w:rPr>
          <w:rFonts w:asciiTheme="majorBidi" w:hAnsiTheme="majorBidi" w:cstheme="majorBidi"/>
          <w:sz w:val="28"/>
          <w:szCs w:val="28"/>
        </w:rPr>
      </w:pPr>
    </w:p>
    <w:p w:rsidR="00AD371C" w:rsidRPr="00F73CC9" w:rsidRDefault="00AD371C" w:rsidP="00AD371C">
      <w:pPr>
        <w:rPr>
          <w:rFonts w:asciiTheme="majorBidi" w:hAnsiTheme="majorBidi" w:cstheme="majorBidi"/>
          <w:color w:val="FF0000"/>
          <w:sz w:val="28"/>
          <w:szCs w:val="28"/>
        </w:rPr>
      </w:pPr>
      <w:r w:rsidRPr="00F73CC9">
        <w:rPr>
          <w:rFonts w:asciiTheme="majorBidi" w:hAnsiTheme="majorBidi" w:cstheme="majorBidi"/>
          <w:color w:val="FF0000"/>
          <w:sz w:val="28"/>
          <w:szCs w:val="28"/>
        </w:rPr>
        <w:t>Thalle filamenteux :</w:t>
      </w:r>
    </w:p>
    <w:p w:rsidR="005A795D" w:rsidRPr="00AD371C" w:rsidRDefault="00C475CA" w:rsidP="00F73CC9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>Il existe deux types de filament:</w:t>
      </w:r>
    </w:p>
    <w:p w:rsidR="005A795D" w:rsidRPr="00AD371C" w:rsidRDefault="00C475CA" w:rsidP="00AD371C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Filaments non cloisonnée ou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coenocytique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(siphon)</w:t>
      </w:r>
    </w:p>
    <w:p w:rsidR="005A795D" w:rsidRPr="00AD371C" w:rsidRDefault="00C475CA" w:rsidP="00AD371C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Filament cloisonnée ou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septée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(hyphe)</w:t>
      </w:r>
    </w:p>
    <w:p w:rsid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175760"/>
            <wp:effectExtent l="0" t="0" r="0" b="0"/>
            <wp:docPr id="9" name="Espace réservé du contenu 5" descr="hyphe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hyphes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Les filaments peuvent s'associer entre eux pour former des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pseudotissus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:</w:t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 • Ces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plectenchymes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peuvent prendre différents aspects :</w:t>
      </w:r>
    </w:p>
    <w:p w:rsidR="005A795D" w:rsidRPr="00AD371C" w:rsidRDefault="00C475CA" w:rsidP="00AD371C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 Massifs +/- compacts (« coussinets » ou « stroma ») </w:t>
      </w:r>
    </w:p>
    <w:p w:rsidR="005A795D" w:rsidRPr="00AD371C" w:rsidRDefault="00C475CA" w:rsidP="00AD371C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Gros cordons ramifiés («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rhizomorphe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»)</w:t>
      </w:r>
    </w:p>
    <w:p w:rsidR="005A795D" w:rsidRPr="00AD371C" w:rsidRDefault="00C475CA" w:rsidP="00AD371C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>Aspect de tubercule (« sclérote »)</w:t>
      </w:r>
    </w:p>
    <w:p w:rsidR="005A795D" w:rsidRPr="00AD371C" w:rsidRDefault="00C475CA" w:rsidP="00AD371C">
      <w:pPr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Colonnes formées par agglomération des 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conidiophores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 (</w:t>
      </w:r>
      <w:proofErr w:type="spellStart"/>
      <w:r w:rsidRPr="00AD371C">
        <w:rPr>
          <w:rFonts w:asciiTheme="majorBidi" w:hAnsiTheme="majorBidi" w:cstheme="majorBidi"/>
          <w:sz w:val="28"/>
          <w:szCs w:val="28"/>
        </w:rPr>
        <w:t>synnema</w:t>
      </w:r>
      <w:proofErr w:type="spellEnd"/>
      <w:r w:rsidRPr="00AD371C">
        <w:rPr>
          <w:rFonts w:asciiTheme="majorBidi" w:hAnsiTheme="majorBidi" w:cstheme="majorBidi"/>
          <w:sz w:val="28"/>
          <w:szCs w:val="28"/>
        </w:rPr>
        <w:t xml:space="preserve">) </w:t>
      </w:r>
      <w:r w:rsidR="00C65766">
        <w:rPr>
          <w:rFonts w:asciiTheme="majorBidi" w:hAnsiTheme="majorBidi" w:cstheme="majorBidi"/>
          <w:sz w:val="28"/>
          <w:szCs w:val="28"/>
        </w:rPr>
        <w:t>(Figure 5)</w:t>
      </w:r>
    </w:p>
    <w:p w:rsidR="00AD371C" w:rsidRDefault="00AD371C" w:rsidP="00C6576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3205480" cy="2102069"/>
            <wp:effectExtent l="0" t="0" r="0" b="0"/>
            <wp:docPr id="10" name="Espace réservé du contenu 5" descr="téléchargemen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téléchargement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7668" cy="21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A4" w:rsidRDefault="003646A4" w:rsidP="00C6576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Figure </w:t>
      </w:r>
      <w:r w:rsidR="00672BCF">
        <w:rPr>
          <w:rFonts w:asciiTheme="majorBidi" w:hAnsiTheme="majorBidi" w:cstheme="majorBidi"/>
          <w:sz w:val="28"/>
          <w:szCs w:val="28"/>
        </w:rPr>
        <w:t>5. L</w:t>
      </w:r>
      <w:r>
        <w:rPr>
          <w:rFonts w:asciiTheme="majorBidi" w:hAnsiTheme="majorBidi" w:cstheme="majorBidi"/>
          <w:sz w:val="28"/>
          <w:szCs w:val="28"/>
        </w:rPr>
        <w:t xml:space="preserve">es </w:t>
      </w:r>
      <w:proofErr w:type="spellStart"/>
      <w:r>
        <w:rPr>
          <w:rFonts w:asciiTheme="majorBidi" w:hAnsiTheme="majorBidi" w:cstheme="majorBidi"/>
          <w:sz w:val="28"/>
          <w:szCs w:val="28"/>
        </w:rPr>
        <w:t>synnema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en microscope optique</w:t>
      </w:r>
    </w:p>
    <w:p w:rsidR="00AD371C" w:rsidRPr="00672BCF" w:rsidRDefault="00AD371C" w:rsidP="00AD371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72BCF">
        <w:rPr>
          <w:rFonts w:asciiTheme="majorBidi" w:hAnsiTheme="majorBidi" w:cstheme="majorBidi"/>
          <w:b/>
          <w:bCs/>
          <w:sz w:val="36"/>
          <w:szCs w:val="36"/>
        </w:rPr>
        <w:lastRenderedPageBreak/>
        <w:t>Croissance des champignons :</w:t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>Les stades de développements:</w:t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 xml:space="preserve">*Sporulation </w:t>
      </w:r>
      <w:proofErr w:type="gramStart"/>
      <w:r w:rsidRPr="00AD371C">
        <w:rPr>
          <w:rFonts w:asciiTheme="majorBidi" w:hAnsiTheme="majorBidi" w:cstheme="majorBidi"/>
          <w:sz w:val="28"/>
          <w:szCs w:val="28"/>
        </w:rPr>
        <w:t>:la</w:t>
      </w:r>
      <w:proofErr w:type="gramEnd"/>
      <w:r w:rsidRPr="00AD371C">
        <w:rPr>
          <w:rFonts w:asciiTheme="majorBidi" w:hAnsiTheme="majorBidi" w:cstheme="majorBidi"/>
          <w:sz w:val="28"/>
          <w:szCs w:val="28"/>
        </w:rPr>
        <w:t xml:space="preserve"> reproduction se fait par la sporulation qui consiste une production de spores rigide et résistante</w:t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>*Germination : elle est caractérisée par l'émergence d'un tube germinant à partir de la spore fongique</w:t>
      </w:r>
    </w:p>
    <w:p w:rsidR="00AD371C" w:rsidRPr="00AD371C" w:rsidRDefault="00AD371C" w:rsidP="00AD371C">
      <w:pPr>
        <w:rPr>
          <w:rFonts w:asciiTheme="majorBidi" w:hAnsiTheme="majorBidi" w:cstheme="majorBidi"/>
          <w:sz w:val="28"/>
          <w:szCs w:val="28"/>
        </w:rPr>
      </w:pPr>
      <w:r w:rsidRPr="00AD371C">
        <w:rPr>
          <w:rFonts w:asciiTheme="majorBidi" w:hAnsiTheme="majorBidi" w:cstheme="majorBidi"/>
          <w:sz w:val="28"/>
          <w:szCs w:val="28"/>
        </w:rPr>
        <w:t>*Elongation: se fait par l’apex des filaments grâce à un flux de vésicules contenant des précurseurs de la paroi. La ramification se fait par dichotomie apicale ou par bourgeonnement de filaments latéraux</w:t>
      </w:r>
    </w:p>
    <w:p w:rsidR="00AD371C" w:rsidRPr="002C1466" w:rsidRDefault="00AD371C" w:rsidP="00AD371C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60720" cy="2281555"/>
            <wp:effectExtent l="0" t="0" r="0" b="4445"/>
            <wp:docPr id="11" name="Espace réservé du contenu 3" descr="D'une_spore_au_mycéliu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D'une_spore_au_mycélium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71C" w:rsidRPr="002C1466" w:rsidSect="00CC0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5A21"/>
    <w:multiLevelType w:val="hybridMultilevel"/>
    <w:tmpl w:val="FB860BD0"/>
    <w:lvl w:ilvl="0" w:tplc="88A20D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D4E2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2E61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6E8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3249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A41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3E9B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5AE7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03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4C44DB"/>
    <w:multiLevelType w:val="hybridMultilevel"/>
    <w:tmpl w:val="81EC9FD2"/>
    <w:lvl w:ilvl="0" w:tplc="C6BE0A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3CF9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9605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0A25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E87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CA4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C0A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AE32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B801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73A00"/>
    <w:multiLevelType w:val="hybridMultilevel"/>
    <w:tmpl w:val="C33415D0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4D4262"/>
    <w:multiLevelType w:val="hybridMultilevel"/>
    <w:tmpl w:val="C7D276C6"/>
    <w:lvl w:ilvl="0" w:tplc="202237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4878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E53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E229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CA90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D015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293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5CDD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E0B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3F5DD2"/>
    <w:multiLevelType w:val="hybridMultilevel"/>
    <w:tmpl w:val="1EF052D4"/>
    <w:lvl w:ilvl="0" w:tplc="12467F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C37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360F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6BA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8A00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F057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563A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C272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9ED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E1AB9"/>
    <w:multiLevelType w:val="hybridMultilevel"/>
    <w:tmpl w:val="BFCECB46"/>
    <w:lvl w:ilvl="0" w:tplc="D8781C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686C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34E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6C16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E5A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FCA3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A6C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869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56E3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A74A36"/>
    <w:multiLevelType w:val="hybridMultilevel"/>
    <w:tmpl w:val="5CA24A90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D7A20DD"/>
    <w:multiLevelType w:val="hybridMultilevel"/>
    <w:tmpl w:val="FB28D57E"/>
    <w:lvl w:ilvl="0" w:tplc="ED3EF6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6EC2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AE9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EB9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5A5F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2075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523B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444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AE09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8F0E7A"/>
    <w:multiLevelType w:val="hybridMultilevel"/>
    <w:tmpl w:val="FC1ED39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7EB6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B2C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CC3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7A03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685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4CFD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2CD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0618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2C1466"/>
    <w:rsid w:val="00003624"/>
    <w:rsid w:val="000E012C"/>
    <w:rsid w:val="002C1466"/>
    <w:rsid w:val="003646A4"/>
    <w:rsid w:val="003F2EFD"/>
    <w:rsid w:val="0054398F"/>
    <w:rsid w:val="005A795D"/>
    <w:rsid w:val="00655B9F"/>
    <w:rsid w:val="00672BCF"/>
    <w:rsid w:val="00756CF3"/>
    <w:rsid w:val="00987EE6"/>
    <w:rsid w:val="009971E7"/>
    <w:rsid w:val="00AD371C"/>
    <w:rsid w:val="00B17DAF"/>
    <w:rsid w:val="00C11449"/>
    <w:rsid w:val="00C475CA"/>
    <w:rsid w:val="00C65766"/>
    <w:rsid w:val="00CC01FA"/>
    <w:rsid w:val="00DD202B"/>
    <w:rsid w:val="00DF1463"/>
    <w:rsid w:val="00EE6D5C"/>
    <w:rsid w:val="00EF3F03"/>
    <w:rsid w:val="00F176F9"/>
    <w:rsid w:val="00F61780"/>
    <w:rsid w:val="00F73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1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76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75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6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893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95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99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526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543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990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042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354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393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282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18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31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25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184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51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92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714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5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0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542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547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4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1979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080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11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87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643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2020-03-31T19:22:00Z</dcterms:created>
  <dcterms:modified xsi:type="dcterms:W3CDTF">2020-03-31T19:22:00Z</dcterms:modified>
</cp:coreProperties>
</file>