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DC" w:rsidRDefault="00EB77DC" w:rsidP="00EB77DC">
      <w:pPr>
        <w:spacing w:line="860" w:lineRule="exact"/>
        <w:ind w:left="1092" w:right="1091"/>
        <w:jc w:val="center"/>
        <w:rPr>
          <w:sz w:val="79"/>
          <w:szCs w:val="79"/>
        </w:rPr>
      </w:pPr>
      <w:r>
        <w:rPr>
          <w:b/>
          <w:color w:val="4E81BD"/>
          <w:spacing w:val="1"/>
          <w:sz w:val="79"/>
          <w:szCs w:val="79"/>
          <w:u w:val="thick" w:color="4E81BD"/>
        </w:rPr>
        <w:t>I</w:t>
      </w:r>
      <w:r>
        <w:rPr>
          <w:b/>
          <w:color w:val="4E81BD"/>
          <w:spacing w:val="2"/>
          <w:sz w:val="79"/>
          <w:szCs w:val="79"/>
          <w:u w:val="thick" w:color="4E81BD"/>
        </w:rPr>
        <w:t>n</w:t>
      </w:r>
      <w:r>
        <w:rPr>
          <w:b/>
          <w:color w:val="4E81BD"/>
          <w:spacing w:val="1"/>
          <w:sz w:val="79"/>
          <w:szCs w:val="79"/>
          <w:u w:val="thick" w:color="4E81BD"/>
        </w:rPr>
        <w:t>toxication</w:t>
      </w:r>
      <w:r>
        <w:rPr>
          <w:b/>
          <w:color w:val="4E81BD"/>
          <w:spacing w:val="3"/>
          <w:sz w:val="79"/>
          <w:szCs w:val="79"/>
          <w:u w:val="thick" w:color="4E81BD"/>
        </w:rPr>
        <w:t xml:space="preserve"> </w:t>
      </w:r>
      <w:r>
        <w:rPr>
          <w:b/>
          <w:color w:val="4E81BD"/>
          <w:spacing w:val="1"/>
          <w:sz w:val="79"/>
          <w:szCs w:val="79"/>
          <w:u w:val="thick" w:color="4E81BD"/>
        </w:rPr>
        <w:t xml:space="preserve">au </w:t>
      </w:r>
      <w:r>
        <w:rPr>
          <w:b/>
          <w:color w:val="4E81BD"/>
          <w:spacing w:val="2"/>
          <w:sz w:val="79"/>
          <w:szCs w:val="79"/>
          <w:u w:val="thick" w:color="4E81BD"/>
        </w:rPr>
        <w:t>P</w:t>
      </w:r>
      <w:r>
        <w:rPr>
          <w:b/>
          <w:color w:val="4E81BD"/>
          <w:spacing w:val="1"/>
          <w:w w:val="101"/>
          <w:sz w:val="79"/>
          <w:szCs w:val="79"/>
          <w:u w:val="thick" w:color="4E81BD"/>
        </w:rPr>
        <w:t>l</w:t>
      </w:r>
      <w:r>
        <w:rPr>
          <w:b/>
          <w:color w:val="4E81BD"/>
          <w:spacing w:val="1"/>
          <w:sz w:val="79"/>
          <w:szCs w:val="79"/>
          <w:u w:val="thick" w:color="4E81BD"/>
        </w:rPr>
        <w:t>o</w:t>
      </w:r>
      <w:r>
        <w:rPr>
          <w:b/>
          <w:color w:val="4E81BD"/>
          <w:spacing w:val="3"/>
          <w:sz w:val="79"/>
          <w:szCs w:val="79"/>
          <w:u w:val="thick" w:color="4E81BD"/>
        </w:rPr>
        <w:t>m</w:t>
      </w:r>
      <w:r>
        <w:rPr>
          <w:b/>
          <w:color w:val="4E81BD"/>
          <w:sz w:val="79"/>
          <w:szCs w:val="79"/>
          <w:u w:val="thick" w:color="4E81BD"/>
        </w:rPr>
        <w:t>b</w:t>
      </w:r>
    </w:p>
    <w:p w:rsidR="00EB77DC" w:rsidRDefault="00EB77DC" w:rsidP="00EB77DC">
      <w:pPr>
        <w:spacing w:before="51" w:line="880" w:lineRule="exact"/>
        <w:ind w:left="2670" w:right="2667"/>
        <w:jc w:val="center"/>
        <w:rPr>
          <w:sz w:val="79"/>
          <w:szCs w:val="79"/>
        </w:rPr>
      </w:pPr>
      <w:r>
        <w:rPr>
          <w:b/>
          <w:color w:val="4E81BD"/>
          <w:spacing w:val="1"/>
          <w:position w:val="-2"/>
          <w:sz w:val="79"/>
          <w:szCs w:val="79"/>
          <w:u w:val="thick" w:color="4E81BD"/>
        </w:rPr>
        <w:t>(</w:t>
      </w:r>
      <w:r>
        <w:rPr>
          <w:b/>
          <w:color w:val="4E81BD"/>
          <w:spacing w:val="2"/>
          <w:position w:val="-2"/>
          <w:sz w:val="79"/>
          <w:szCs w:val="79"/>
          <w:u w:val="thick" w:color="4E81BD"/>
        </w:rPr>
        <w:t>Sa</w:t>
      </w:r>
      <w:r>
        <w:rPr>
          <w:b/>
          <w:color w:val="4E81BD"/>
          <w:spacing w:val="1"/>
          <w:position w:val="-2"/>
          <w:sz w:val="79"/>
          <w:szCs w:val="79"/>
          <w:u w:val="thick" w:color="4E81BD"/>
        </w:rPr>
        <w:t>t</w:t>
      </w:r>
      <w:r>
        <w:rPr>
          <w:b/>
          <w:color w:val="4E81BD"/>
          <w:spacing w:val="2"/>
          <w:position w:val="-2"/>
          <w:sz w:val="79"/>
          <w:szCs w:val="79"/>
          <w:u w:val="thick" w:color="4E81BD"/>
        </w:rPr>
        <w:t>u</w:t>
      </w:r>
      <w:r>
        <w:rPr>
          <w:b/>
          <w:color w:val="4E81BD"/>
          <w:spacing w:val="1"/>
          <w:position w:val="-2"/>
          <w:sz w:val="79"/>
          <w:szCs w:val="79"/>
          <w:u w:val="thick" w:color="4E81BD"/>
        </w:rPr>
        <w:t>r</w:t>
      </w:r>
      <w:r>
        <w:rPr>
          <w:b/>
          <w:color w:val="4E81BD"/>
          <w:spacing w:val="2"/>
          <w:position w:val="-2"/>
          <w:sz w:val="79"/>
          <w:szCs w:val="79"/>
          <w:u w:val="thick" w:color="4E81BD"/>
        </w:rPr>
        <w:t>n</w:t>
      </w:r>
      <w:r>
        <w:rPr>
          <w:b/>
          <w:color w:val="4E81BD"/>
          <w:spacing w:val="1"/>
          <w:position w:val="-2"/>
          <w:sz w:val="79"/>
          <w:szCs w:val="79"/>
          <w:u w:val="thick" w:color="4E81BD"/>
        </w:rPr>
        <w:t>is</w:t>
      </w:r>
      <w:r>
        <w:rPr>
          <w:b/>
          <w:color w:val="4E81BD"/>
          <w:spacing w:val="3"/>
          <w:position w:val="-2"/>
          <w:sz w:val="79"/>
          <w:szCs w:val="79"/>
          <w:u w:val="thick" w:color="4E81BD"/>
        </w:rPr>
        <w:t>m</w:t>
      </w:r>
      <w:r>
        <w:rPr>
          <w:b/>
          <w:color w:val="4E81BD"/>
          <w:spacing w:val="1"/>
          <w:position w:val="-2"/>
          <w:sz w:val="79"/>
          <w:szCs w:val="79"/>
          <w:u w:val="thick" w:color="4E81BD"/>
        </w:rPr>
        <w:t>e)</w:t>
      </w:r>
    </w:p>
    <w:p w:rsidR="00EB77DC" w:rsidRDefault="00EB77DC" w:rsidP="00EB77DC">
      <w:pPr>
        <w:spacing w:line="200" w:lineRule="exact"/>
      </w:pPr>
    </w:p>
    <w:p w:rsidR="00EB77DC" w:rsidRDefault="00EB77DC" w:rsidP="00EB77DC">
      <w:pPr>
        <w:spacing w:line="200" w:lineRule="exact"/>
      </w:pPr>
    </w:p>
    <w:p w:rsidR="00EB77DC" w:rsidRDefault="00EB77DC" w:rsidP="00EB77DC">
      <w:pPr>
        <w:spacing w:before="9" w:line="200" w:lineRule="exact"/>
      </w:pPr>
    </w:p>
    <w:p w:rsidR="00EB77DC" w:rsidRDefault="00EB77DC" w:rsidP="00EB77DC">
      <w:pPr>
        <w:spacing w:before="29"/>
        <w:ind w:left="153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Plan :</w:t>
      </w:r>
    </w:p>
    <w:p w:rsidR="00EB77DC" w:rsidRDefault="00EB77DC" w:rsidP="00EB77DC">
      <w:pPr>
        <w:spacing w:before="41"/>
        <w:ind w:left="295"/>
        <w:rPr>
          <w:sz w:val="24"/>
          <w:szCs w:val="24"/>
        </w:rPr>
      </w:pPr>
      <w:r>
        <w:rPr>
          <w:sz w:val="24"/>
          <w:szCs w:val="24"/>
        </w:rPr>
        <w:t xml:space="preserve">I.  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Introduction</w:t>
      </w:r>
    </w:p>
    <w:p w:rsidR="00EB77DC" w:rsidRDefault="00D2545E" w:rsidP="00EB77DC">
      <w:pPr>
        <w:spacing w:line="260" w:lineRule="exact"/>
        <w:ind w:left="295"/>
        <w:rPr>
          <w:sz w:val="24"/>
          <w:szCs w:val="24"/>
        </w:rPr>
      </w:pPr>
      <w:r w:rsidRPr="00D2545E">
        <w:pict>
          <v:group id="_x0000_s1075" style="position:absolute;left:0;text-align:left;margin-left:317.2pt;margin-top:-56pt;width:203.05pt;height:169.7pt;z-index:-251656192;mso-position-horizontal-relative:page" coordorigin="6344,-1120" coordsize="4061,3394">
            <v:group id="_x0000_s1076" style="position:absolute;left:6354;top:-1110;width:4041;height:3374" coordorigin="6354,-1110" coordsize="4041,3374">
              <v:shape id="_x0000_s1077" style="position:absolute;left:6354;top:-1110;width:4041;height:3374" coordorigin="6354,-1110" coordsize="4041,3374" path="m6354,2264r4041,l10395,-1110r-4041,l6354,2264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78" type="#_x0000_t75" style="position:absolute;left:6354;top:-1110;width:4041;height:3374">
                <v:imagedata r:id="rId6" o:title=""/>
              </v:shape>
            </v:group>
            <w10:wrap anchorx="page"/>
          </v:group>
        </w:pict>
      </w:r>
      <w:r w:rsidR="00EB77DC">
        <w:rPr>
          <w:sz w:val="24"/>
          <w:szCs w:val="24"/>
        </w:rPr>
        <w:t xml:space="preserve">II.    </w:t>
      </w:r>
      <w:r w:rsidR="00EB77DC">
        <w:rPr>
          <w:spacing w:val="47"/>
          <w:sz w:val="24"/>
          <w:szCs w:val="24"/>
        </w:rPr>
        <w:t xml:space="preserve"> </w:t>
      </w:r>
      <w:r w:rsidR="00EB77DC">
        <w:rPr>
          <w:sz w:val="24"/>
          <w:szCs w:val="24"/>
        </w:rPr>
        <w:t>Propriétés Physicochimiques</w:t>
      </w:r>
    </w:p>
    <w:p w:rsidR="00EB77DC" w:rsidRDefault="00EB77DC" w:rsidP="00EB77DC">
      <w:pPr>
        <w:spacing w:before="2"/>
        <w:ind w:left="295"/>
        <w:rPr>
          <w:sz w:val="24"/>
          <w:szCs w:val="24"/>
        </w:rPr>
      </w:pPr>
      <w:r>
        <w:rPr>
          <w:sz w:val="24"/>
          <w:szCs w:val="24"/>
        </w:rPr>
        <w:t xml:space="preserve">III.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Etiologie des Intoxication</w:t>
      </w:r>
    </w:p>
    <w:p w:rsidR="00EB77DC" w:rsidRDefault="00EB77DC" w:rsidP="00EB77DC">
      <w:pPr>
        <w:spacing w:line="260" w:lineRule="exact"/>
        <w:ind w:left="295"/>
        <w:rPr>
          <w:sz w:val="24"/>
          <w:szCs w:val="24"/>
        </w:rPr>
      </w:pPr>
      <w:r>
        <w:rPr>
          <w:sz w:val="24"/>
          <w:szCs w:val="24"/>
        </w:rPr>
        <w:t xml:space="preserve">IV.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Toxicocinétique</w:t>
      </w:r>
    </w:p>
    <w:p w:rsidR="00EB77DC" w:rsidRDefault="00EB77DC" w:rsidP="00EB77DC">
      <w:pPr>
        <w:spacing w:before="2"/>
        <w:ind w:left="295" w:right="7084"/>
        <w:rPr>
          <w:sz w:val="24"/>
          <w:szCs w:val="24"/>
        </w:rPr>
      </w:pPr>
      <w:r>
        <w:rPr>
          <w:sz w:val="24"/>
          <w:szCs w:val="24"/>
        </w:rPr>
        <w:t xml:space="preserve">V.  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Mécanisme d’action VI.  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Symptomatologie VII.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Traitement</w:t>
      </w:r>
    </w:p>
    <w:p w:rsidR="00EB77DC" w:rsidRDefault="00EB77DC" w:rsidP="00EB77DC">
      <w:pPr>
        <w:spacing w:line="260" w:lineRule="exact"/>
        <w:ind w:left="295"/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Toxicologie Analytique</w:t>
      </w:r>
    </w:p>
    <w:p w:rsidR="00EB77DC" w:rsidRDefault="00D2545E" w:rsidP="00EB77DC">
      <w:pPr>
        <w:spacing w:before="2"/>
        <w:ind w:left="295"/>
        <w:rPr>
          <w:sz w:val="24"/>
          <w:szCs w:val="24"/>
        </w:rPr>
      </w:pPr>
      <w:r w:rsidRPr="00D2545E">
        <w:pict>
          <v:group id="_x0000_s1079" style="position:absolute;left:0;text-align:left;margin-left:54.9pt;margin-top:25.9pt;width:485.4pt;height:1.55pt;z-index:-251655168;mso-position-horizontal-relative:page" coordorigin="1098,518" coordsize="9708,31">
            <v:group id="_x0000_s1080" style="position:absolute;left:1104;top:524;width:9696;height:0" coordorigin="1104,524" coordsize="9696,0">
              <v:shape id="_x0000_s1081" style="position:absolute;left:1104;top:524;width:9696;height:0" coordorigin="1104,524" coordsize="9696,0" path="m1104,524r9696,e" filled="f" strokecolor="#3365fe" strokeweight=".58pt">
                <v:path arrowok="t"/>
              </v:shape>
              <v:group id="_x0000_s1082" style="position:absolute;left:1104;top:543;width:9696;height:0" coordorigin="1104,543" coordsize="9696,0">
                <v:shape id="_x0000_s1083" style="position:absolute;left:1104;top:543;width:9696;height:0" coordorigin="1104,543" coordsize="9696,0" path="m1104,543r9696,e" filled="f" strokecolor="#3365fe" strokeweight=".58pt">
                  <v:path arrowok="t"/>
                </v:shape>
              </v:group>
            </v:group>
            <w10:wrap anchorx="page"/>
          </v:group>
        </w:pict>
      </w:r>
      <w:r w:rsidR="00EB77DC">
        <w:rPr>
          <w:sz w:val="24"/>
          <w:szCs w:val="24"/>
        </w:rPr>
        <w:t xml:space="preserve">IX.   </w:t>
      </w:r>
      <w:r w:rsidR="00EB77DC">
        <w:rPr>
          <w:spacing w:val="14"/>
          <w:sz w:val="24"/>
          <w:szCs w:val="24"/>
        </w:rPr>
        <w:t xml:space="preserve"> </w:t>
      </w:r>
      <w:r w:rsidR="00EB77DC">
        <w:rPr>
          <w:sz w:val="24"/>
          <w:szCs w:val="24"/>
        </w:rPr>
        <w:t>Conclusion</w:t>
      </w:r>
    </w:p>
    <w:p w:rsidR="00EB77DC" w:rsidRDefault="00EB77DC" w:rsidP="00EB77DC">
      <w:pPr>
        <w:spacing w:before="6" w:line="280" w:lineRule="exact"/>
        <w:rPr>
          <w:sz w:val="28"/>
          <w:szCs w:val="28"/>
        </w:rPr>
      </w:pPr>
    </w:p>
    <w:p w:rsidR="00EB77DC" w:rsidRDefault="00EB77DC" w:rsidP="00EB77DC">
      <w:pPr>
        <w:ind w:left="153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I. Introduction:</w:t>
      </w:r>
    </w:p>
    <w:p w:rsidR="00EB77DC" w:rsidRDefault="00EB77DC" w:rsidP="00EB77DC">
      <w:pPr>
        <w:spacing w:before="2" w:line="120" w:lineRule="exact"/>
        <w:rPr>
          <w:sz w:val="12"/>
          <w:szCs w:val="12"/>
        </w:rPr>
      </w:pPr>
    </w:p>
    <w:p w:rsidR="00EB77DC" w:rsidRDefault="00EB77DC" w:rsidP="00EB77DC">
      <w:pPr>
        <w:ind w:left="153"/>
        <w:rPr>
          <w:sz w:val="24"/>
          <w:szCs w:val="24"/>
        </w:rPr>
      </w:pPr>
      <w:r>
        <w:rPr>
          <w:color w:val="0000FF"/>
          <w:sz w:val="24"/>
          <w:szCs w:val="24"/>
        </w:rPr>
        <w:t xml:space="preserve">Plomb utilisé depuis l’antiquité :   </w:t>
      </w:r>
      <w:r>
        <w:rPr>
          <w:rFonts w:ascii="BatangChe" w:eastAsia="BatangChe" w:hAnsi="BatangChe" w:cs="BatangChe"/>
          <w:color w:val="000000"/>
          <w:w w:val="60"/>
          <w:sz w:val="24"/>
          <w:szCs w:val="24"/>
        </w:rPr>
        <w:t>⇒</w:t>
      </w:r>
      <w:r>
        <w:rPr>
          <w:rFonts w:ascii="BatangChe" w:eastAsia="BatangChe" w:hAnsi="BatangChe" w:cs="BatangChe"/>
          <w:color w:val="000000"/>
          <w:spacing w:val="-60"/>
          <w:sz w:val="24"/>
          <w:szCs w:val="24"/>
        </w:rPr>
        <w:t xml:space="preserve"> </w:t>
      </w:r>
      <w:r>
        <w:rPr>
          <w:color w:val="3E691D"/>
          <w:sz w:val="24"/>
          <w:szCs w:val="24"/>
        </w:rPr>
        <w:t xml:space="preserve">toxique industriel </w:t>
      </w:r>
      <w:r>
        <w:rPr>
          <w:color w:val="000000"/>
          <w:sz w:val="24"/>
          <w:szCs w:val="24"/>
        </w:rPr>
        <w:t>majeur</w:t>
      </w:r>
    </w:p>
    <w:p w:rsidR="00EB77DC" w:rsidRDefault="00EB77DC" w:rsidP="00EB77DC">
      <w:pPr>
        <w:spacing w:before="2" w:line="300" w:lineRule="exact"/>
        <w:ind w:left="3438" w:right="3502"/>
        <w:jc w:val="center"/>
        <w:rPr>
          <w:sz w:val="24"/>
          <w:szCs w:val="24"/>
        </w:rPr>
      </w:pPr>
      <w:r>
        <w:rPr>
          <w:rFonts w:ascii="BatangChe" w:eastAsia="BatangChe" w:hAnsi="BatangChe" w:cs="BatangChe"/>
          <w:w w:val="60"/>
          <w:position w:val="-1"/>
          <w:sz w:val="24"/>
          <w:szCs w:val="24"/>
        </w:rPr>
        <w:t>⇒</w:t>
      </w:r>
      <w:r>
        <w:rPr>
          <w:rFonts w:ascii="BatangChe" w:eastAsia="BatangChe" w:hAnsi="BatangChe" w:cs="BatangChe"/>
          <w:spacing w:val="-6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polluant de </w:t>
      </w:r>
      <w:r>
        <w:rPr>
          <w:color w:val="3E691D"/>
          <w:position w:val="-1"/>
          <w:sz w:val="24"/>
          <w:szCs w:val="24"/>
        </w:rPr>
        <w:t>l’environnement</w:t>
      </w:r>
    </w:p>
    <w:p w:rsidR="00EB77DC" w:rsidRDefault="00D2545E" w:rsidP="00EB77DC">
      <w:pPr>
        <w:spacing w:before="49"/>
        <w:ind w:left="153"/>
        <w:rPr>
          <w:sz w:val="24"/>
          <w:szCs w:val="24"/>
        </w:rPr>
      </w:pPr>
      <w:r w:rsidRPr="00D2545E">
        <w:pict>
          <v:group id="_x0000_s1084" style="position:absolute;left:0;text-align:left;margin-left:54.9pt;margin-top:60.15pt;width:485.4pt;height:1.55pt;z-index:-251654144;mso-position-horizontal-relative:page" coordorigin="1098,1203" coordsize="9708,31">
            <v:group id="_x0000_s1085" style="position:absolute;left:1104;top:1209;width:9696;height:0" coordorigin="1104,1209" coordsize="9696,0">
              <v:shape id="_x0000_s1086" style="position:absolute;left:1104;top:1209;width:9696;height:0" coordorigin="1104,1209" coordsize="9696,0" path="m1104,1209r9696,e" filled="f" strokecolor="#3365fe" strokeweight=".58pt">
                <v:path arrowok="t"/>
              </v:shape>
              <v:group id="_x0000_s1087" style="position:absolute;left:1104;top:1228;width:9696;height:0" coordorigin="1104,1228" coordsize="9696,0">
                <v:shape id="_x0000_s1088" style="position:absolute;left:1104;top:1228;width:9696;height:0" coordorigin="1104,1228" coordsize="9696,0" path="m1104,1228r9696,e" filled="f" strokecolor="#3365fe" strokeweight=".58pt">
                  <v:path arrowok="t"/>
                </v:shape>
              </v:group>
            </v:group>
            <w10:wrap anchorx="page"/>
          </v:group>
        </w:pict>
      </w:r>
      <w:r w:rsidR="00EB77DC">
        <w:rPr>
          <w:color w:val="0000FF"/>
          <w:sz w:val="24"/>
          <w:szCs w:val="24"/>
        </w:rPr>
        <w:t xml:space="preserve">Intoxications : </w:t>
      </w:r>
      <w:r w:rsidR="00EB77DC">
        <w:rPr>
          <w:color w:val="3E691D"/>
          <w:sz w:val="24"/>
          <w:szCs w:val="24"/>
        </w:rPr>
        <w:t xml:space="preserve">aiguës : </w:t>
      </w:r>
      <w:r w:rsidR="00EB77DC">
        <w:rPr>
          <w:color w:val="000000"/>
          <w:sz w:val="24"/>
          <w:szCs w:val="24"/>
        </w:rPr>
        <w:t>rares</w:t>
      </w:r>
    </w:p>
    <w:p w:rsidR="00EB77DC" w:rsidRDefault="00EB77DC" w:rsidP="00EB77DC">
      <w:pPr>
        <w:spacing w:before="41" w:line="271" w:lineRule="auto"/>
        <w:ind w:left="1593" w:right="3418"/>
        <w:rPr>
          <w:sz w:val="24"/>
          <w:szCs w:val="24"/>
        </w:rPr>
      </w:pPr>
      <w:r>
        <w:rPr>
          <w:color w:val="3E691D"/>
          <w:sz w:val="24"/>
          <w:szCs w:val="24"/>
        </w:rPr>
        <w:t xml:space="preserve">chroniques = SATURNISME : </w:t>
      </w:r>
      <w:r>
        <w:rPr>
          <w:color w:val="000000"/>
          <w:sz w:val="24"/>
          <w:szCs w:val="24"/>
        </w:rPr>
        <w:t>toujours d’actualité saturnisme infantile</w:t>
      </w:r>
    </w:p>
    <w:p w:rsidR="00EB77DC" w:rsidRDefault="00EB77DC" w:rsidP="00EB77DC">
      <w:pPr>
        <w:spacing w:line="260" w:lineRule="exact"/>
        <w:rPr>
          <w:sz w:val="26"/>
          <w:szCs w:val="26"/>
        </w:rPr>
      </w:pPr>
    </w:p>
    <w:p w:rsidR="00EB77DC" w:rsidRDefault="00EB77DC" w:rsidP="00EB77DC">
      <w:pPr>
        <w:ind w:left="153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II. Propriétés physicochimique :</w:t>
      </w:r>
    </w:p>
    <w:p w:rsidR="00EB77DC" w:rsidRDefault="00EB77DC" w:rsidP="00EB77DC">
      <w:pPr>
        <w:spacing w:before="6" w:line="160" w:lineRule="exact"/>
        <w:rPr>
          <w:sz w:val="16"/>
          <w:szCs w:val="16"/>
        </w:rPr>
      </w:pPr>
    </w:p>
    <w:p w:rsidR="00EB77DC" w:rsidRDefault="00EB77DC" w:rsidP="00EB77DC">
      <w:pPr>
        <w:spacing w:line="275" w:lineRule="auto"/>
        <w:ind w:left="993" w:right="5524" w:hanging="840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Plomb : </w:t>
      </w:r>
      <w:r>
        <w:rPr>
          <w:color w:val="000000"/>
          <w:sz w:val="24"/>
          <w:szCs w:val="24"/>
        </w:rPr>
        <w:t>du latin plombum = Argent liquide Métal : mou bleuâtre à gris argent Point de fusion bas (327°C)</w:t>
      </w:r>
    </w:p>
    <w:p w:rsidR="00EB77DC" w:rsidRDefault="00EB77DC" w:rsidP="00EB77DC">
      <w:pPr>
        <w:spacing w:before="1"/>
        <w:ind w:left="993"/>
        <w:rPr>
          <w:sz w:val="24"/>
          <w:szCs w:val="24"/>
        </w:rPr>
      </w:pPr>
      <w:r>
        <w:rPr>
          <w:sz w:val="24"/>
          <w:szCs w:val="24"/>
        </w:rPr>
        <w:t>Forte densité</w:t>
      </w:r>
    </w:p>
    <w:p w:rsidR="00EB77DC" w:rsidRDefault="00EB77DC" w:rsidP="00EB77DC">
      <w:pPr>
        <w:spacing w:before="41"/>
        <w:ind w:left="993"/>
        <w:rPr>
          <w:sz w:val="24"/>
          <w:szCs w:val="24"/>
        </w:rPr>
      </w:pPr>
      <w:r>
        <w:rPr>
          <w:sz w:val="24"/>
          <w:szCs w:val="24"/>
        </w:rPr>
        <w:t>Capacité à former des alliages</w:t>
      </w:r>
    </w:p>
    <w:p w:rsidR="00EB77DC" w:rsidRDefault="00EB77DC" w:rsidP="00EB77DC">
      <w:pPr>
        <w:spacing w:line="300" w:lineRule="exact"/>
        <w:ind w:left="993"/>
        <w:rPr>
          <w:sz w:val="24"/>
          <w:szCs w:val="24"/>
        </w:rPr>
      </w:pPr>
      <w:r>
        <w:rPr>
          <w:position w:val="-1"/>
          <w:sz w:val="24"/>
          <w:szCs w:val="24"/>
        </w:rPr>
        <w:t xml:space="preserve">Solubilité : eau </w:t>
      </w:r>
      <w:r>
        <w:rPr>
          <w:rFonts w:ascii="BatangChe" w:eastAsia="BatangChe" w:hAnsi="BatangChe" w:cs="BatangChe"/>
          <w:w w:val="60"/>
          <w:position w:val="-1"/>
          <w:sz w:val="24"/>
          <w:szCs w:val="24"/>
        </w:rPr>
        <w:t>⇒</w:t>
      </w:r>
      <w:r>
        <w:rPr>
          <w:rFonts w:ascii="BatangChe" w:eastAsia="BatangChe" w:hAnsi="BatangChe" w:cs="BatangChe"/>
          <w:spacing w:val="-6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intoxication / eaux de boisson et acides organiques</w:t>
      </w:r>
    </w:p>
    <w:p w:rsidR="00EB77DC" w:rsidRDefault="00EB77DC" w:rsidP="00EB77DC">
      <w:pPr>
        <w:spacing w:before="50"/>
        <w:ind w:left="993"/>
        <w:rPr>
          <w:sz w:val="24"/>
          <w:szCs w:val="24"/>
        </w:rPr>
      </w:pPr>
      <w:r>
        <w:rPr>
          <w:sz w:val="24"/>
          <w:szCs w:val="24"/>
        </w:rPr>
        <w:t>Utilisation : plaques d’étanchéité, blindages anti-radiations, alliages pour soudure …</w:t>
      </w:r>
    </w:p>
    <w:p w:rsidR="00EB77DC" w:rsidRDefault="00EB77DC" w:rsidP="00EB77DC">
      <w:pPr>
        <w:spacing w:before="1" w:line="160" w:lineRule="exact"/>
        <w:rPr>
          <w:sz w:val="16"/>
          <w:szCs w:val="16"/>
        </w:rPr>
      </w:pPr>
    </w:p>
    <w:p w:rsidR="00EB77DC" w:rsidRDefault="00EB77DC" w:rsidP="00EB77DC">
      <w:pPr>
        <w:ind w:left="153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Dérivés organiques : </w:t>
      </w:r>
      <w:r>
        <w:rPr>
          <w:color w:val="000000"/>
          <w:sz w:val="24"/>
          <w:szCs w:val="24"/>
        </w:rPr>
        <w:t>plomb tétraméthyle (PTM), plomb tétraéthyle (PTE)</w:t>
      </w:r>
    </w:p>
    <w:p w:rsidR="00EB77DC" w:rsidRDefault="00EB77DC" w:rsidP="00EB77DC">
      <w:pPr>
        <w:spacing w:before="41"/>
        <w:ind w:left="153"/>
        <w:rPr>
          <w:sz w:val="24"/>
          <w:szCs w:val="24"/>
        </w:rPr>
      </w:pPr>
      <w:r>
        <w:rPr>
          <w:color w:val="3E691D"/>
          <w:sz w:val="24"/>
          <w:szCs w:val="24"/>
        </w:rPr>
        <w:t xml:space="preserve">autrefois : </w:t>
      </w:r>
      <w:r>
        <w:rPr>
          <w:color w:val="000000"/>
          <w:sz w:val="24"/>
          <w:szCs w:val="24"/>
        </w:rPr>
        <w:t>antidétonants dans l’essence</w:t>
      </w:r>
    </w:p>
    <w:p w:rsidR="00EB77DC" w:rsidRDefault="00EB77DC" w:rsidP="00EB77DC">
      <w:pPr>
        <w:spacing w:before="7" w:line="320" w:lineRule="exact"/>
        <w:ind w:left="153" w:right="3818"/>
        <w:rPr>
          <w:sz w:val="24"/>
          <w:szCs w:val="24"/>
        </w:rPr>
      </w:pPr>
      <w:r>
        <w:rPr>
          <w:color w:val="3E691D"/>
          <w:sz w:val="24"/>
          <w:szCs w:val="24"/>
        </w:rPr>
        <w:t xml:space="preserve">liposolubles : </w:t>
      </w:r>
      <w:r>
        <w:rPr>
          <w:rFonts w:ascii="BatangChe" w:eastAsia="BatangChe" w:hAnsi="BatangChe" w:cs="BatangChe"/>
          <w:color w:val="000000"/>
          <w:w w:val="60"/>
          <w:sz w:val="24"/>
          <w:szCs w:val="24"/>
        </w:rPr>
        <w:t>⇒</w:t>
      </w:r>
      <w:r>
        <w:rPr>
          <w:rFonts w:ascii="BatangChe" w:eastAsia="BatangChe" w:hAnsi="BatangChe" w:cs="BatangChe"/>
          <w:color w:val="000000"/>
          <w:spacing w:val="-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toxicité SNC, foie, rein </w:t>
      </w:r>
      <w:r>
        <w:rPr>
          <w:rFonts w:ascii="BatangChe" w:eastAsia="BatangChe" w:hAnsi="BatangChe" w:cs="BatangChe"/>
          <w:color w:val="000000"/>
          <w:w w:val="60"/>
          <w:sz w:val="24"/>
          <w:szCs w:val="24"/>
        </w:rPr>
        <w:t>⇒</w:t>
      </w:r>
      <w:r>
        <w:rPr>
          <w:rFonts w:ascii="BatangChe" w:eastAsia="BatangChe" w:hAnsi="BatangChe" w:cs="BatangChe"/>
          <w:color w:val="000000"/>
          <w:spacing w:val="-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pénétration cutanée </w:t>
      </w:r>
      <w:r>
        <w:rPr>
          <w:color w:val="3E691D"/>
          <w:sz w:val="24"/>
          <w:szCs w:val="24"/>
        </w:rPr>
        <w:t xml:space="preserve">volatils : </w:t>
      </w:r>
      <w:r>
        <w:rPr>
          <w:rFonts w:ascii="BatangChe" w:eastAsia="BatangChe" w:hAnsi="BatangChe" w:cs="BatangChe"/>
          <w:color w:val="000000"/>
          <w:w w:val="60"/>
          <w:sz w:val="24"/>
          <w:szCs w:val="24"/>
        </w:rPr>
        <w:t>⇒</w:t>
      </w:r>
      <w:r>
        <w:rPr>
          <w:rFonts w:ascii="BatangChe" w:eastAsia="BatangChe" w:hAnsi="BatangChe" w:cs="BatangChe"/>
          <w:color w:val="000000"/>
          <w:spacing w:val="-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 sniffing » des carburants (toxicomanie)</w:t>
      </w:r>
    </w:p>
    <w:p w:rsidR="00EB77DC" w:rsidRDefault="00EB77DC" w:rsidP="00EB77DC">
      <w:pPr>
        <w:spacing w:before="3" w:line="140" w:lineRule="exact"/>
        <w:rPr>
          <w:sz w:val="15"/>
          <w:szCs w:val="15"/>
        </w:rPr>
      </w:pPr>
    </w:p>
    <w:p w:rsidR="00EB77DC" w:rsidRDefault="00EB77DC" w:rsidP="00EB77DC">
      <w:pPr>
        <w:spacing w:line="275" w:lineRule="auto"/>
        <w:ind w:left="153" w:right="3340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Dérivés inorganiques : </w:t>
      </w:r>
      <w:r>
        <w:rPr>
          <w:color w:val="000000"/>
          <w:sz w:val="24"/>
          <w:szCs w:val="24"/>
        </w:rPr>
        <w:t>les plus nombreux</w:t>
      </w:r>
      <w:r>
        <w:rPr>
          <w:color w:val="81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trés peu hydrosolubles </w:t>
      </w:r>
      <w:r>
        <w:rPr>
          <w:color w:val="3E691D"/>
          <w:sz w:val="24"/>
          <w:szCs w:val="24"/>
        </w:rPr>
        <w:t xml:space="preserve">sulfure : « galène » </w:t>
      </w:r>
      <w:r>
        <w:rPr>
          <w:color w:val="000000"/>
          <w:sz w:val="24"/>
          <w:szCs w:val="24"/>
        </w:rPr>
        <w:t>(PbS) – minerai naturel</w:t>
      </w:r>
    </w:p>
    <w:p w:rsidR="00EB77DC" w:rsidRDefault="00EB77DC" w:rsidP="00EB77DC">
      <w:pPr>
        <w:spacing w:before="6"/>
        <w:ind w:left="153"/>
        <w:rPr>
          <w:sz w:val="24"/>
          <w:szCs w:val="24"/>
        </w:rPr>
      </w:pPr>
      <w:r>
        <w:rPr>
          <w:color w:val="3E691D"/>
          <w:sz w:val="24"/>
          <w:szCs w:val="24"/>
        </w:rPr>
        <w:t xml:space="preserve">oxydes : « massisot jaune » </w:t>
      </w:r>
      <w:r>
        <w:rPr>
          <w:color w:val="000000"/>
          <w:sz w:val="24"/>
          <w:szCs w:val="24"/>
        </w:rPr>
        <w:t>(PbO) - verre, émaux …</w:t>
      </w:r>
    </w:p>
    <w:p w:rsidR="00EB77DC" w:rsidRDefault="00EB77DC" w:rsidP="00EB77DC">
      <w:pPr>
        <w:spacing w:before="41"/>
        <w:ind w:left="993"/>
        <w:rPr>
          <w:sz w:val="24"/>
          <w:szCs w:val="24"/>
        </w:rPr>
      </w:pPr>
      <w:r>
        <w:rPr>
          <w:color w:val="3E691D"/>
          <w:sz w:val="24"/>
          <w:szCs w:val="24"/>
        </w:rPr>
        <w:t xml:space="preserve">« minium » </w:t>
      </w:r>
      <w:r>
        <w:rPr>
          <w:color w:val="000000"/>
          <w:sz w:val="24"/>
          <w:szCs w:val="24"/>
        </w:rPr>
        <w:t>(Pb304) – rouge, peintures antirouille</w:t>
      </w:r>
    </w:p>
    <w:p w:rsidR="00EB77DC" w:rsidRDefault="00EB77DC" w:rsidP="00EB77DC">
      <w:pPr>
        <w:spacing w:before="12" w:line="300" w:lineRule="exact"/>
        <w:ind w:left="153" w:right="336"/>
        <w:rPr>
          <w:sz w:val="24"/>
          <w:szCs w:val="24"/>
        </w:rPr>
      </w:pPr>
      <w:r>
        <w:rPr>
          <w:color w:val="3E691D"/>
          <w:sz w:val="24"/>
          <w:szCs w:val="24"/>
        </w:rPr>
        <w:t xml:space="preserve">hydrocarbonates : </w:t>
      </w:r>
      <w:r>
        <w:rPr>
          <w:color w:val="000000"/>
          <w:sz w:val="24"/>
          <w:szCs w:val="24"/>
        </w:rPr>
        <w:t xml:space="preserve">« céruse »– pigment blanc / peintures, interdit mais présents dans les logements anciens </w:t>
      </w:r>
      <w:r>
        <w:rPr>
          <w:rFonts w:ascii="BatangChe" w:eastAsia="BatangChe" w:hAnsi="BatangChe" w:cs="BatangChe"/>
          <w:color w:val="000000"/>
          <w:w w:val="60"/>
          <w:sz w:val="24"/>
          <w:szCs w:val="24"/>
        </w:rPr>
        <w:t>⇒</w:t>
      </w:r>
      <w:r>
        <w:rPr>
          <w:rFonts w:ascii="BatangChe" w:eastAsia="BatangChe" w:hAnsi="BatangChe" w:cs="BatangChe"/>
          <w:color w:val="000000"/>
          <w:spacing w:val="-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saturnisme = « maladie sociale »</w:t>
      </w:r>
    </w:p>
    <w:p w:rsidR="00B72C0A" w:rsidRDefault="00EB77DC" w:rsidP="00EB77DC">
      <w:pPr>
        <w:rPr>
          <w:color w:val="000000"/>
          <w:sz w:val="24"/>
          <w:szCs w:val="24"/>
        </w:rPr>
      </w:pPr>
      <w:r>
        <w:rPr>
          <w:color w:val="3E691D"/>
          <w:sz w:val="24"/>
          <w:szCs w:val="24"/>
        </w:rPr>
        <w:t xml:space="preserve">arséniate : « insecticide » </w:t>
      </w:r>
      <w:r>
        <w:rPr>
          <w:color w:val="000000"/>
          <w:sz w:val="24"/>
          <w:szCs w:val="24"/>
        </w:rPr>
        <w:t xml:space="preserve">- interdit mais rémanence très longue </w:t>
      </w:r>
      <w:r>
        <w:rPr>
          <w:rFonts w:ascii="BatangChe" w:eastAsia="BatangChe" w:hAnsi="BatangChe" w:cs="BatangChe"/>
          <w:color w:val="000000"/>
          <w:w w:val="60"/>
          <w:sz w:val="24"/>
          <w:szCs w:val="24"/>
        </w:rPr>
        <w:t>⇒</w:t>
      </w:r>
      <w:r>
        <w:rPr>
          <w:rFonts w:ascii="BatangChe" w:eastAsia="BatangChe" w:hAnsi="BatangChe" w:cs="BatangChe"/>
          <w:color w:val="000000"/>
          <w:spacing w:val="-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dans les champs anciennement</w:t>
      </w:r>
    </w:p>
    <w:p w:rsidR="00EB77DC" w:rsidRDefault="00EB77DC" w:rsidP="00EB77DC">
      <w:pPr>
        <w:rPr>
          <w:color w:val="000000"/>
          <w:sz w:val="24"/>
          <w:szCs w:val="24"/>
        </w:rPr>
      </w:pPr>
    </w:p>
    <w:p w:rsidR="00EB77DC" w:rsidRDefault="00EB77DC" w:rsidP="00EB77DC">
      <w:pPr>
        <w:spacing w:before="29"/>
        <w:ind w:left="153"/>
        <w:rPr>
          <w:sz w:val="24"/>
          <w:szCs w:val="24"/>
        </w:rPr>
      </w:pPr>
      <w:r>
        <w:rPr>
          <w:color w:val="3E691D"/>
          <w:sz w:val="24"/>
          <w:szCs w:val="24"/>
        </w:rPr>
        <w:t xml:space="preserve">acétate : « eau-blanche » </w:t>
      </w:r>
      <w:r>
        <w:rPr>
          <w:color w:val="000000"/>
          <w:sz w:val="24"/>
          <w:szCs w:val="24"/>
        </w:rPr>
        <w:t>- toujours utilisé (lotions capillaires colorantes …)</w:t>
      </w:r>
    </w:p>
    <w:p w:rsidR="00EB77DC" w:rsidRDefault="00D2545E" w:rsidP="00EB77DC">
      <w:pPr>
        <w:spacing w:line="300" w:lineRule="exact"/>
        <w:ind w:left="153"/>
        <w:rPr>
          <w:sz w:val="24"/>
          <w:szCs w:val="24"/>
        </w:rPr>
      </w:pPr>
      <w:r w:rsidRPr="00D2545E">
        <w:pict>
          <v:group id="_x0000_s1089" style="position:absolute;left:0;text-align:left;margin-left:54.9pt;margin-top:24.45pt;width:485.4pt;height:1.55pt;z-index:-251652096;mso-position-horizontal-relative:page" coordorigin="1098,489" coordsize="9708,31">
            <v:group id="_x0000_s1090" style="position:absolute;left:1104;top:495;width:9696;height:0" coordorigin="1104,495" coordsize="9696,0">
              <v:shape id="_x0000_s1091" style="position:absolute;left:1104;top:495;width:9696;height:0" coordorigin="1104,495" coordsize="9696,0" path="m1104,495r9696,e" filled="f" strokecolor="#3365fe" strokeweight=".58pt">
                <v:path arrowok="t"/>
              </v:shape>
              <v:group id="_x0000_s1092" style="position:absolute;left:1104;top:514;width:9696;height:0" coordorigin="1104,514" coordsize="9696,0">
                <v:shape id="_x0000_s1093" style="position:absolute;left:1104;top:514;width:9696;height:0" coordorigin="1104,514" coordsize="9696,0" path="m1104,514r9696,e" filled="f" strokecolor="#3365fe" strokeweight=".58pt">
                  <v:path arrowok="t"/>
                </v:shape>
              </v:group>
            </v:group>
            <w10:wrap anchorx="page"/>
          </v:group>
        </w:pict>
      </w:r>
      <w:r w:rsidR="00EB77DC">
        <w:rPr>
          <w:color w:val="3E691D"/>
          <w:position w:val="-1"/>
          <w:sz w:val="24"/>
          <w:szCs w:val="24"/>
        </w:rPr>
        <w:t xml:space="preserve">iodure : </w:t>
      </w:r>
      <w:r w:rsidR="00EB77DC">
        <w:rPr>
          <w:color w:val="000000"/>
          <w:position w:val="-1"/>
          <w:sz w:val="24"/>
          <w:szCs w:val="24"/>
        </w:rPr>
        <w:t xml:space="preserve">hydrosoluble </w:t>
      </w:r>
      <w:r w:rsidR="00EB77DC">
        <w:rPr>
          <w:rFonts w:ascii="BatangChe" w:eastAsia="BatangChe" w:hAnsi="BatangChe" w:cs="BatangChe"/>
          <w:color w:val="000000"/>
          <w:w w:val="60"/>
          <w:position w:val="-1"/>
          <w:sz w:val="24"/>
          <w:szCs w:val="24"/>
        </w:rPr>
        <w:t>⇒</w:t>
      </w:r>
      <w:r w:rsidR="00EB77DC">
        <w:rPr>
          <w:rFonts w:ascii="BatangChe" w:eastAsia="BatangChe" w:hAnsi="BatangChe" w:cs="BatangChe"/>
          <w:color w:val="000000"/>
          <w:spacing w:val="-60"/>
          <w:position w:val="-1"/>
          <w:sz w:val="24"/>
          <w:szCs w:val="24"/>
        </w:rPr>
        <w:t xml:space="preserve"> </w:t>
      </w:r>
      <w:r w:rsidR="00EB77DC">
        <w:rPr>
          <w:color w:val="000000"/>
          <w:position w:val="-1"/>
          <w:sz w:val="24"/>
          <w:szCs w:val="24"/>
        </w:rPr>
        <w:t xml:space="preserve">en </w:t>
      </w:r>
      <w:r w:rsidR="00EB77DC">
        <w:rPr>
          <w:color w:val="3E691D"/>
          <w:position w:val="-1"/>
          <w:sz w:val="24"/>
          <w:szCs w:val="24"/>
        </w:rPr>
        <w:t xml:space="preserve">dermatologie </w:t>
      </w:r>
      <w:r w:rsidR="00EB77DC">
        <w:rPr>
          <w:color w:val="000000"/>
          <w:position w:val="-1"/>
          <w:sz w:val="24"/>
          <w:szCs w:val="24"/>
        </w:rPr>
        <w:t>autrefois</w:t>
      </w:r>
    </w:p>
    <w:p w:rsidR="00EB77DC" w:rsidRDefault="00EB77DC" w:rsidP="00EB77DC">
      <w:pPr>
        <w:spacing w:before="18" w:line="200" w:lineRule="exact"/>
      </w:pPr>
    </w:p>
    <w:p w:rsidR="00EB77DC" w:rsidRDefault="00EB77DC" w:rsidP="00EB77DC">
      <w:pPr>
        <w:ind w:left="153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III. Etiologie des Intoxication :</w:t>
      </w:r>
    </w:p>
    <w:p w:rsidR="00EB77DC" w:rsidRDefault="00EB77DC" w:rsidP="00EB77DC">
      <w:pPr>
        <w:spacing w:before="1" w:line="160" w:lineRule="exact"/>
        <w:rPr>
          <w:sz w:val="16"/>
          <w:szCs w:val="16"/>
        </w:rPr>
      </w:pPr>
    </w:p>
    <w:p w:rsidR="00EB77DC" w:rsidRDefault="00EB77DC" w:rsidP="00EB77DC">
      <w:pPr>
        <w:ind w:left="153"/>
        <w:rPr>
          <w:sz w:val="24"/>
          <w:szCs w:val="24"/>
        </w:rPr>
      </w:pPr>
      <w:r>
        <w:rPr>
          <w:b/>
          <w:color w:val="002D99"/>
          <w:sz w:val="24"/>
          <w:szCs w:val="24"/>
        </w:rPr>
        <w:lastRenderedPageBreak/>
        <w:t xml:space="preserve">1. Criminelles : </w:t>
      </w:r>
      <w:r>
        <w:rPr>
          <w:color w:val="000000"/>
          <w:sz w:val="24"/>
          <w:szCs w:val="24"/>
        </w:rPr>
        <w:t>très rares aujourd’hui, autrefois : « eau-blanche » (acétate Pb) mélangée au lait</w:t>
      </w:r>
    </w:p>
    <w:p w:rsidR="00EB77DC" w:rsidRDefault="00EB77DC" w:rsidP="00EB77DC">
      <w:pPr>
        <w:spacing w:before="1" w:line="160" w:lineRule="exact"/>
        <w:rPr>
          <w:sz w:val="16"/>
          <w:szCs w:val="16"/>
        </w:rPr>
      </w:pPr>
    </w:p>
    <w:p w:rsidR="00EB77DC" w:rsidRDefault="00EB77DC" w:rsidP="00EB77DC">
      <w:pPr>
        <w:ind w:left="153"/>
        <w:rPr>
          <w:sz w:val="24"/>
          <w:szCs w:val="24"/>
        </w:rPr>
      </w:pPr>
      <w:r>
        <w:rPr>
          <w:b/>
          <w:color w:val="002D99"/>
          <w:sz w:val="24"/>
          <w:szCs w:val="24"/>
        </w:rPr>
        <w:t xml:space="preserve">2. Professionnelles : </w:t>
      </w:r>
      <w:r>
        <w:rPr>
          <w:color w:val="810000"/>
          <w:sz w:val="24"/>
          <w:szCs w:val="24"/>
        </w:rPr>
        <w:t>nombreuses activités utilisent Pb</w:t>
      </w:r>
    </w:p>
    <w:p w:rsidR="00EB77DC" w:rsidRDefault="00EB77DC" w:rsidP="00EB77DC">
      <w:pPr>
        <w:spacing w:before="41"/>
        <w:ind w:left="153"/>
        <w:rPr>
          <w:sz w:val="24"/>
          <w:szCs w:val="24"/>
        </w:rPr>
      </w:pPr>
      <w:r>
        <w:rPr>
          <w:sz w:val="24"/>
          <w:szCs w:val="24"/>
        </w:rPr>
        <w:t>- métallurgie, soudure, fabrication d’accumulateurs, récupération des métaux, verrerie, fabrication :</w:t>
      </w:r>
    </w:p>
    <w:p w:rsidR="00EB77DC" w:rsidRDefault="00EB77DC" w:rsidP="00EB77DC">
      <w:pPr>
        <w:spacing w:before="41"/>
        <w:ind w:left="153"/>
        <w:rPr>
          <w:sz w:val="24"/>
          <w:szCs w:val="24"/>
        </w:rPr>
      </w:pPr>
      <w:r>
        <w:rPr>
          <w:sz w:val="24"/>
          <w:szCs w:val="24"/>
        </w:rPr>
        <w:t>vernis, peintures, émaux, munitions … etc</w:t>
      </w:r>
    </w:p>
    <w:p w:rsidR="00EB77DC" w:rsidRDefault="00EB77DC" w:rsidP="00EB77DC">
      <w:pPr>
        <w:spacing w:before="45"/>
        <w:ind w:left="153"/>
        <w:rPr>
          <w:sz w:val="24"/>
          <w:szCs w:val="24"/>
        </w:rPr>
      </w:pPr>
      <w:r>
        <w:rPr>
          <w:b/>
          <w:color w:val="002D99"/>
          <w:sz w:val="24"/>
          <w:szCs w:val="24"/>
        </w:rPr>
        <w:t>3. Non-professionnelles :</w:t>
      </w:r>
    </w:p>
    <w:p w:rsidR="00EB77DC" w:rsidRDefault="00EB77DC" w:rsidP="00EB77DC">
      <w:pPr>
        <w:spacing w:before="41"/>
        <w:ind w:left="153"/>
        <w:rPr>
          <w:sz w:val="24"/>
          <w:szCs w:val="24"/>
        </w:rPr>
      </w:pPr>
      <w:r>
        <w:rPr>
          <w:b/>
          <w:color w:val="3E691D"/>
          <w:sz w:val="24"/>
          <w:szCs w:val="24"/>
        </w:rPr>
        <w:t xml:space="preserve">Eau de Boisson : </w:t>
      </w:r>
      <w:r>
        <w:rPr>
          <w:color w:val="000000"/>
          <w:sz w:val="24"/>
          <w:szCs w:val="24"/>
        </w:rPr>
        <w:t>habitations anciennes : canalisations en Pb.</w:t>
      </w:r>
    </w:p>
    <w:p w:rsidR="00EB77DC" w:rsidRDefault="00EB77DC" w:rsidP="00EB77DC">
      <w:pPr>
        <w:spacing w:before="7" w:line="320" w:lineRule="exact"/>
        <w:ind w:left="1893" w:right="2894"/>
        <w:rPr>
          <w:sz w:val="24"/>
          <w:szCs w:val="24"/>
        </w:rPr>
      </w:pPr>
      <w:r>
        <w:rPr>
          <w:sz w:val="24"/>
          <w:szCs w:val="24"/>
        </w:rPr>
        <w:t xml:space="preserve">eau « agressive» (pH &lt; 6,5) : Pb ionisé </w:t>
      </w:r>
      <w:r>
        <w:rPr>
          <w:rFonts w:ascii="BatangChe" w:eastAsia="BatangChe" w:hAnsi="BatangChe" w:cs="BatangChe"/>
          <w:w w:val="60"/>
          <w:sz w:val="24"/>
          <w:szCs w:val="24"/>
        </w:rPr>
        <w:t>⇒</w:t>
      </w:r>
      <w:r>
        <w:rPr>
          <w:rFonts w:ascii="BatangChe" w:eastAsia="BatangChe" w:hAnsi="BatangChe" w:cs="BatangChe"/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en solution. eau du matin (stagnante) : plus concentrée en Pb.</w:t>
      </w:r>
    </w:p>
    <w:p w:rsidR="00EB77DC" w:rsidRDefault="00EB77DC" w:rsidP="00EB77DC">
      <w:pPr>
        <w:spacing w:before="28"/>
        <w:ind w:left="1893"/>
        <w:rPr>
          <w:sz w:val="24"/>
          <w:szCs w:val="24"/>
        </w:rPr>
      </w:pPr>
      <w:r>
        <w:rPr>
          <w:sz w:val="24"/>
          <w:szCs w:val="24"/>
        </w:rPr>
        <w:t>2005 : 70% des canalisations de Paris hors normes.</w:t>
      </w:r>
    </w:p>
    <w:p w:rsidR="00EB77DC" w:rsidRDefault="00EB77DC" w:rsidP="00EB77DC">
      <w:pPr>
        <w:spacing w:before="41"/>
        <w:ind w:left="153"/>
        <w:rPr>
          <w:sz w:val="24"/>
          <w:szCs w:val="24"/>
        </w:rPr>
      </w:pPr>
      <w:r>
        <w:rPr>
          <w:b/>
          <w:color w:val="3E691D"/>
          <w:sz w:val="24"/>
          <w:szCs w:val="24"/>
        </w:rPr>
        <w:t xml:space="preserve">Aliments : </w:t>
      </w:r>
      <w:r>
        <w:rPr>
          <w:color w:val="000000"/>
          <w:sz w:val="24"/>
          <w:szCs w:val="24"/>
        </w:rPr>
        <w:t>contamineé par « procédé de fabrication »</w:t>
      </w:r>
    </w:p>
    <w:p w:rsidR="00EB77DC" w:rsidRDefault="00EB77DC" w:rsidP="00EB77DC">
      <w:pPr>
        <w:spacing w:before="41" w:line="258" w:lineRule="auto"/>
        <w:ind w:left="153" w:right="1830"/>
        <w:rPr>
          <w:sz w:val="24"/>
          <w:szCs w:val="24"/>
        </w:rPr>
      </w:pPr>
      <w:r>
        <w:rPr>
          <w:sz w:val="24"/>
          <w:szCs w:val="24"/>
        </w:rPr>
        <w:t xml:space="preserve">Conserves « ancienne génération » : soudures, Vin : capsules métalliques. Aliments acides (fruits, salades) : ustensiles vernissés </w:t>
      </w:r>
      <w:r>
        <w:rPr>
          <w:rFonts w:ascii="BatangChe" w:eastAsia="BatangChe" w:hAnsi="BatangChe" w:cs="BatangChe"/>
          <w:w w:val="60"/>
          <w:sz w:val="24"/>
          <w:szCs w:val="24"/>
        </w:rPr>
        <w:t>⇒</w:t>
      </w:r>
      <w:r>
        <w:rPr>
          <w:rFonts w:ascii="BatangChe" w:eastAsia="BatangChe" w:hAnsi="BatangChe" w:cs="BatangChe"/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« saturnisme du saladier » Gibier : plombs</w:t>
      </w:r>
    </w:p>
    <w:p w:rsidR="00EB77DC" w:rsidRDefault="00EB77DC" w:rsidP="00EB77DC">
      <w:pPr>
        <w:spacing w:line="280" w:lineRule="exact"/>
        <w:ind w:left="153"/>
        <w:rPr>
          <w:sz w:val="24"/>
          <w:szCs w:val="24"/>
        </w:rPr>
      </w:pPr>
      <w:r>
        <w:rPr>
          <w:b/>
          <w:color w:val="3E691D"/>
          <w:position w:val="-1"/>
          <w:sz w:val="24"/>
          <w:szCs w:val="24"/>
        </w:rPr>
        <w:t xml:space="preserve">Pollution atmosphérique : </w:t>
      </w:r>
      <w:r>
        <w:rPr>
          <w:rFonts w:ascii="BatangChe" w:eastAsia="BatangChe" w:hAnsi="BatangChe" w:cs="BatangChe"/>
          <w:color w:val="000000"/>
          <w:w w:val="60"/>
          <w:position w:val="-1"/>
          <w:sz w:val="24"/>
          <w:szCs w:val="24"/>
        </w:rPr>
        <w:t>⇒</w:t>
      </w:r>
      <w:r>
        <w:rPr>
          <w:rFonts w:ascii="BatangChe" w:eastAsia="BatangChe" w:hAnsi="BatangChe" w:cs="BatangChe"/>
          <w:color w:val="000000"/>
          <w:spacing w:val="-60"/>
          <w:position w:val="-1"/>
          <w:sz w:val="24"/>
          <w:szCs w:val="24"/>
        </w:rPr>
        <w:t xml:space="preserve"> </w:t>
      </w:r>
      <w:r>
        <w:rPr>
          <w:color w:val="000000"/>
          <w:position w:val="-1"/>
          <w:sz w:val="24"/>
          <w:szCs w:val="24"/>
        </w:rPr>
        <w:t>charge en plomb de l’organisme : Industrie, Rejets automobiles</w:t>
      </w:r>
    </w:p>
    <w:p w:rsidR="00EB77DC" w:rsidRDefault="00EB77DC" w:rsidP="00EB77DC">
      <w:pPr>
        <w:spacing w:before="45"/>
        <w:ind w:left="153"/>
        <w:rPr>
          <w:sz w:val="24"/>
          <w:szCs w:val="24"/>
        </w:rPr>
      </w:pPr>
      <w:r>
        <w:rPr>
          <w:sz w:val="24"/>
          <w:szCs w:val="24"/>
        </w:rPr>
        <w:t>(essences plombées).</w:t>
      </w:r>
    </w:p>
    <w:p w:rsidR="00EB77DC" w:rsidRDefault="00D2545E" w:rsidP="00EB77DC">
      <w:pPr>
        <w:spacing w:line="300" w:lineRule="exact"/>
        <w:ind w:left="153"/>
        <w:rPr>
          <w:sz w:val="24"/>
          <w:szCs w:val="24"/>
        </w:rPr>
      </w:pPr>
      <w:r w:rsidRPr="00D2545E">
        <w:pict>
          <v:group id="_x0000_s1094" style="position:absolute;left:0;text-align:left;margin-left:54.9pt;margin-top:28.3pt;width:485.4pt;height:1.55pt;z-index:-251651072;mso-position-horizontal-relative:page" coordorigin="1098,566" coordsize="9708,31">
            <v:group id="_x0000_s1095" style="position:absolute;left:1104;top:572;width:9696;height:0" coordorigin="1104,572" coordsize="9696,0">
              <v:shape id="_x0000_s1096" style="position:absolute;left:1104;top:572;width:9696;height:0" coordorigin="1104,572" coordsize="9696,0" path="m1104,572r9696,e" filled="f" strokecolor="#3365fe" strokeweight=".58pt">
                <v:path arrowok="t"/>
              </v:shape>
              <v:group id="_x0000_s1097" style="position:absolute;left:1104;top:591;width:9696;height:0" coordorigin="1104,591" coordsize="9696,0">
                <v:shape id="_x0000_s1098" style="position:absolute;left:1104;top:591;width:9696;height:0" coordorigin="1104,591" coordsize="9696,0" path="m1104,591r9696,e" filled="f" strokecolor="#3365fe" strokeweight=".58pt">
                  <v:path arrowok="t"/>
                </v:shape>
              </v:group>
            </v:group>
            <w10:wrap anchorx="page"/>
          </v:group>
        </w:pict>
      </w:r>
      <w:r w:rsidR="00EB77DC">
        <w:rPr>
          <w:b/>
          <w:color w:val="3E691D"/>
          <w:position w:val="-1"/>
          <w:sz w:val="24"/>
          <w:szCs w:val="24"/>
        </w:rPr>
        <w:t xml:space="preserve">Poussières Contaminées : </w:t>
      </w:r>
      <w:r w:rsidR="00EB77DC">
        <w:rPr>
          <w:color w:val="000000"/>
          <w:position w:val="-1"/>
          <w:sz w:val="24"/>
          <w:szCs w:val="24"/>
        </w:rPr>
        <w:t xml:space="preserve">dépôt / sol, contamination par ingestion </w:t>
      </w:r>
      <w:r w:rsidR="00EB77DC">
        <w:rPr>
          <w:rFonts w:ascii="BatangChe" w:eastAsia="BatangChe" w:hAnsi="BatangChe" w:cs="BatangChe"/>
          <w:color w:val="000000"/>
          <w:w w:val="60"/>
          <w:position w:val="-1"/>
          <w:sz w:val="24"/>
          <w:szCs w:val="24"/>
        </w:rPr>
        <w:t>⇒</w:t>
      </w:r>
      <w:r w:rsidR="00EB77DC">
        <w:rPr>
          <w:rFonts w:ascii="BatangChe" w:eastAsia="BatangChe" w:hAnsi="BatangChe" w:cs="BatangChe"/>
          <w:color w:val="000000"/>
          <w:spacing w:val="-60"/>
          <w:position w:val="-1"/>
          <w:sz w:val="24"/>
          <w:szCs w:val="24"/>
        </w:rPr>
        <w:t xml:space="preserve"> </w:t>
      </w:r>
      <w:r w:rsidR="00EB77DC">
        <w:rPr>
          <w:color w:val="000000"/>
          <w:position w:val="-1"/>
          <w:sz w:val="24"/>
          <w:szCs w:val="24"/>
        </w:rPr>
        <w:t>activité de PICA / enfant.</w:t>
      </w:r>
    </w:p>
    <w:p w:rsidR="00EB77DC" w:rsidRDefault="00EB77DC" w:rsidP="00EB77DC">
      <w:pPr>
        <w:spacing w:line="100" w:lineRule="exact"/>
        <w:rPr>
          <w:sz w:val="10"/>
          <w:szCs w:val="10"/>
        </w:rPr>
      </w:pPr>
    </w:p>
    <w:p w:rsidR="00EB77DC" w:rsidRDefault="00EB77DC" w:rsidP="00EB77DC">
      <w:pPr>
        <w:spacing w:line="200" w:lineRule="exact"/>
      </w:pPr>
    </w:p>
    <w:p w:rsidR="00EB77DC" w:rsidRDefault="00EB77DC" w:rsidP="00EB77DC">
      <w:pPr>
        <w:ind w:left="153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IV. Toxicocinétique :</w:t>
      </w:r>
    </w:p>
    <w:p w:rsidR="00EB77DC" w:rsidRDefault="00EB77DC" w:rsidP="00EB77DC">
      <w:pPr>
        <w:spacing w:before="6" w:line="160" w:lineRule="exact"/>
        <w:rPr>
          <w:sz w:val="16"/>
          <w:szCs w:val="16"/>
        </w:rPr>
      </w:pPr>
    </w:p>
    <w:p w:rsidR="00EB77DC" w:rsidRDefault="00EB77DC" w:rsidP="00EB77DC">
      <w:pPr>
        <w:ind w:left="153"/>
        <w:rPr>
          <w:sz w:val="24"/>
          <w:szCs w:val="24"/>
        </w:rPr>
      </w:pPr>
      <w:r>
        <w:rPr>
          <w:b/>
          <w:color w:val="002D99"/>
          <w:sz w:val="24"/>
          <w:szCs w:val="24"/>
        </w:rPr>
        <w:t>1. Absorption :</w:t>
      </w:r>
    </w:p>
    <w:p w:rsidR="00EB77DC" w:rsidRDefault="00EB77DC" w:rsidP="00EB77DC">
      <w:pPr>
        <w:spacing w:before="41" w:line="255" w:lineRule="auto"/>
        <w:ind w:left="153" w:right="1690"/>
        <w:rPr>
          <w:sz w:val="24"/>
          <w:szCs w:val="24"/>
        </w:rPr>
      </w:pPr>
      <w:r>
        <w:rPr>
          <w:b/>
          <w:color w:val="3E691D"/>
          <w:sz w:val="24"/>
          <w:szCs w:val="24"/>
        </w:rPr>
        <w:t xml:space="preserve">Voie digestive : </w:t>
      </w:r>
      <w:r>
        <w:rPr>
          <w:color w:val="000000"/>
          <w:sz w:val="24"/>
          <w:szCs w:val="24"/>
        </w:rPr>
        <w:t xml:space="preserve">Pb / eau, aliments, poussières : Adulte </w:t>
      </w:r>
      <w:r>
        <w:rPr>
          <w:b/>
          <w:color w:val="000000"/>
          <w:sz w:val="24"/>
          <w:szCs w:val="24"/>
        </w:rPr>
        <w:t xml:space="preserve">≈ 10%, </w:t>
      </w:r>
      <w:r>
        <w:rPr>
          <w:color w:val="000000"/>
          <w:sz w:val="24"/>
          <w:szCs w:val="24"/>
        </w:rPr>
        <w:t xml:space="preserve">Enfant </w:t>
      </w:r>
      <w:r>
        <w:rPr>
          <w:b/>
          <w:color w:val="000000"/>
          <w:sz w:val="24"/>
          <w:szCs w:val="24"/>
        </w:rPr>
        <w:t xml:space="preserve">≈ 40 à 50 % </w:t>
      </w:r>
      <w:r>
        <w:rPr>
          <w:b/>
          <w:color w:val="3E691D"/>
          <w:sz w:val="24"/>
          <w:szCs w:val="24"/>
        </w:rPr>
        <w:t xml:space="preserve">Voie pulmonaire : </w:t>
      </w:r>
      <w:r>
        <w:rPr>
          <w:color w:val="000000"/>
          <w:sz w:val="24"/>
          <w:szCs w:val="24"/>
        </w:rPr>
        <w:t xml:space="preserve">Pb / atmosphère (poussières, vapeurs) </w:t>
      </w:r>
      <w:r>
        <w:rPr>
          <w:b/>
          <w:color w:val="000000"/>
          <w:sz w:val="24"/>
          <w:szCs w:val="24"/>
        </w:rPr>
        <w:t xml:space="preserve">≈ 35% </w:t>
      </w:r>
      <w:r>
        <w:rPr>
          <w:rFonts w:ascii="BatangChe" w:eastAsia="BatangChe" w:hAnsi="BatangChe" w:cs="BatangChe"/>
          <w:color w:val="000000"/>
          <w:w w:val="60"/>
          <w:sz w:val="24"/>
          <w:szCs w:val="24"/>
        </w:rPr>
        <w:t>⇒</w:t>
      </w:r>
      <w:r>
        <w:rPr>
          <w:rFonts w:ascii="BatangChe" w:eastAsia="BatangChe" w:hAnsi="BatangChe" w:cs="BatangChe"/>
          <w:color w:val="000000"/>
          <w:spacing w:val="-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la + efficace </w:t>
      </w:r>
      <w:r>
        <w:rPr>
          <w:b/>
          <w:color w:val="3E691D"/>
          <w:sz w:val="24"/>
          <w:szCs w:val="24"/>
        </w:rPr>
        <w:t xml:space="preserve">Voie cutanée : </w:t>
      </w:r>
      <w:r>
        <w:rPr>
          <w:color w:val="000000"/>
          <w:sz w:val="24"/>
          <w:szCs w:val="24"/>
        </w:rPr>
        <w:t>dérivés organiques liposolubles / peau lésée</w:t>
      </w:r>
    </w:p>
    <w:p w:rsidR="00EB77DC" w:rsidRDefault="00EB77DC" w:rsidP="00EB77DC">
      <w:pPr>
        <w:spacing w:line="280" w:lineRule="exact"/>
        <w:ind w:left="153"/>
        <w:rPr>
          <w:sz w:val="24"/>
          <w:szCs w:val="24"/>
        </w:rPr>
      </w:pPr>
      <w:r>
        <w:rPr>
          <w:b/>
          <w:color w:val="3E691D"/>
          <w:position w:val="-1"/>
          <w:sz w:val="24"/>
          <w:szCs w:val="24"/>
        </w:rPr>
        <w:t xml:space="preserve">Passage barrière placentaire : </w:t>
      </w:r>
      <w:r>
        <w:rPr>
          <w:rFonts w:ascii="BatangChe" w:eastAsia="BatangChe" w:hAnsi="BatangChe" w:cs="BatangChe"/>
          <w:color w:val="000000"/>
          <w:w w:val="60"/>
          <w:position w:val="-1"/>
          <w:sz w:val="24"/>
          <w:szCs w:val="24"/>
        </w:rPr>
        <w:t>⇒</w:t>
      </w:r>
      <w:r>
        <w:rPr>
          <w:rFonts w:ascii="BatangChe" w:eastAsia="BatangChe" w:hAnsi="BatangChe" w:cs="BatangChe"/>
          <w:color w:val="000000"/>
          <w:spacing w:val="-60"/>
          <w:position w:val="-1"/>
          <w:sz w:val="24"/>
          <w:szCs w:val="24"/>
        </w:rPr>
        <w:t xml:space="preserve"> </w:t>
      </w:r>
      <w:r>
        <w:rPr>
          <w:color w:val="000000"/>
          <w:position w:val="-1"/>
          <w:sz w:val="24"/>
          <w:szCs w:val="24"/>
        </w:rPr>
        <w:t xml:space="preserve">foetus exposé </w:t>
      </w:r>
      <w:r>
        <w:rPr>
          <w:rFonts w:ascii="BatangChe" w:eastAsia="BatangChe" w:hAnsi="BatangChe" w:cs="BatangChe"/>
          <w:color w:val="000000"/>
          <w:w w:val="60"/>
          <w:position w:val="-1"/>
          <w:sz w:val="24"/>
          <w:szCs w:val="24"/>
        </w:rPr>
        <w:t>⇒</w:t>
      </w:r>
      <w:r>
        <w:rPr>
          <w:rFonts w:ascii="BatangChe" w:eastAsia="BatangChe" w:hAnsi="BatangChe" w:cs="BatangChe"/>
          <w:color w:val="000000"/>
          <w:spacing w:val="-60"/>
          <w:position w:val="-1"/>
          <w:sz w:val="24"/>
          <w:szCs w:val="24"/>
        </w:rPr>
        <w:t xml:space="preserve"> </w:t>
      </w:r>
      <w:r>
        <w:rPr>
          <w:color w:val="000000"/>
          <w:position w:val="-1"/>
          <w:sz w:val="24"/>
          <w:szCs w:val="24"/>
        </w:rPr>
        <w:t>exposition commence dès stade foetal</w:t>
      </w:r>
    </w:p>
    <w:p w:rsidR="00EB77DC" w:rsidRDefault="00EB77DC" w:rsidP="00EB77DC">
      <w:pPr>
        <w:spacing w:before="6" w:line="160" w:lineRule="exact"/>
        <w:rPr>
          <w:sz w:val="16"/>
          <w:szCs w:val="16"/>
        </w:rPr>
      </w:pPr>
    </w:p>
    <w:p w:rsidR="00EB77DC" w:rsidRDefault="00EB77DC" w:rsidP="00EB77DC">
      <w:pPr>
        <w:ind w:left="153"/>
        <w:rPr>
          <w:sz w:val="24"/>
          <w:szCs w:val="24"/>
        </w:rPr>
      </w:pPr>
      <w:r>
        <w:rPr>
          <w:b/>
          <w:color w:val="002D99"/>
          <w:sz w:val="24"/>
          <w:szCs w:val="24"/>
        </w:rPr>
        <w:t>2. Distribution :</w:t>
      </w:r>
    </w:p>
    <w:p w:rsidR="00EB77DC" w:rsidRDefault="00EB77DC" w:rsidP="00EB77DC">
      <w:pPr>
        <w:spacing w:before="41"/>
        <w:ind w:left="153"/>
        <w:rPr>
          <w:sz w:val="24"/>
          <w:szCs w:val="24"/>
        </w:rPr>
      </w:pPr>
      <w:r>
        <w:rPr>
          <w:sz w:val="24"/>
          <w:szCs w:val="24"/>
        </w:rPr>
        <w:t>Elle est tricompartimentale :</w:t>
      </w:r>
    </w:p>
    <w:p w:rsidR="00EB77DC" w:rsidRDefault="00EB77DC" w:rsidP="00EB77DC">
      <w:pPr>
        <w:spacing w:before="2"/>
        <w:ind w:left="153"/>
        <w:rPr>
          <w:rFonts w:ascii="BatangChe" w:eastAsia="BatangChe" w:hAnsi="BatangChe" w:cs="BatangChe"/>
          <w:sz w:val="24"/>
          <w:szCs w:val="24"/>
        </w:rPr>
      </w:pPr>
      <w:r>
        <w:rPr>
          <w:b/>
          <w:color w:val="3E691D"/>
          <w:sz w:val="24"/>
          <w:szCs w:val="24"/>
        </w:rPr>
        <w:t xml:space="preserve">Circulatiion générale : </w:t>
      </w:r>
      <w:r>
        <w:rPr>
          <w:color w:val="000000"/>
          <w:sz w:val="24"/>
          <w:szCs w:val="24"/>
        </w:rPr>
        <w:t xml:space="preserve">1 à 2 % [hématies] 16 fois &gt; [plasma], 1/2 vie plasmatique = 25 jours </w:t>
      </w:r>
      <w:r>
        <w:rPr>
          <w:rFonts w:ascii="BatangChe" w:eastAsia="BatangChe" w:hAnsi="BatangChe" w:cs="BatangChe"/>
          <w:color w:val="000000"/>
          <w:w w:val="60"/>
          <w:sz w:val="24"/>
          <w:szCs w:val="24"/>
        </w:rPr>
        <w:t>⇒</w:t>
      </w:r>
    </w:p>
    <w:p w:rsidR="00EB77DC" w:rsidRDefault="00EB77DC" w:rsidP="00EB77DC">
      <w:pPr>
        <w:spacing w:before="45"/>
        <w:ind w:left="153"/>
        <w:rPr>
          <w:sz w:val="24"/>
          <w:szCs w:val="24"/>
        </w:rPr>
      </w:pPr>
      <w:r>
        <w:rPr>
          <w:sz w:val="24"/>
          <w:szCs w:val="24"/>
        </w:rPr>
        <w:t>dosage Pb / sang total</w:t>
      </w:r>
    </w:p>
    <w:p w:rsidR="00EB77DC" w:rsidRDefault="00EB77DC" w:rsidP="00EB77DC">
      <w:pPr>
        <w:spacing w:before="41" w:line="275" w:lineRule="auto"/>
        <w:ind w:left="153" w:right="120"/>
        <w:rPr>
          <w:sz w:val="24"/>
          <w:szCs w:val="24"/>
        </w:rPr>
      </w:pPr>
      <w:r>
        <w:rPr>
          <w:b/>
          <w:color w:val="3E691D"/>
          <w:sz w:val="24"/>
          <w:szCs w:val="24"/>
        </w:rPr>
        <w:t xml:space="preserve">Tissus mous </w:t>
      </w:r>
      <w:r>
        <w:rPr>
          <w:color w:val="000000"/>
          <w:sz w:val="24"/>
          <w:szCs w:val="24"/>
        </w:rPr>
        <w:t>(moelle osseuse, poumons, reins, SNC) : reflet l’exposition récente : 1/2 vie : quelques mois.</w:t>
      </w:r>
    </w:p>
    <w:p w:rsidR="00EB77DC" w:rsidRDefault="00EB77DC" w:rsidP="00EB77DC">
      <w:pPr>
        <w:spacing w:before="1"/>
        <w:ind w:left="153"/>
        <w:rPr>
          <w:sz w:val="24"/>
          <w:szCs w:val="24"/>
        </w:rPr>
      </w:pPr>
      <w:r>
        <w:rPr>
          <w:b/>
          <w:color w:val="3E691D"/>
          <w:sz w:val="24"/>
          <w:szCs w:val="24"/>
        </w:rPr>
        <w:t xml:space="preserve">Tissus durs </w:t>
      </w:r>
      <w:r>
        <w:rPr>
          <w:color w:val="000000"/>
          <w:sz w:val="24"/>
          <w:szCs w:val="24"/>
        </w:rPr>
        <w:t>(squelette, dents) : stockage, reflet l’exposition cumulative : 20 à 30 ans</w:t>
      </w:r>
    </w:p>
    <w:p w:rsidR="00EB77DC" w:rsidRDefault="00EB77DC" w:rsidP="00EB77DC">
      <w:pPr>
        <w:spacing w:before="1" w:line="160" w:lineRule="exact"/>
        <w:rPr>
          <w:sz w:val="16"/>
          <w:szCs w:val="16"/>
        </w:rPr>
      </w:pPr>
    </w:p>
    <w:p w:rsidR="00EB77DC" w:rsidRDefault="00EB77DC" w:rsidP="00EB77DC">
      <w:pPr>
        <w:ind w:left="153"/>
        <w:rPr>
          <w:sz w:val="24"/>
          <w:szCs w:val="24"/>
        </w:rPr>
      </w:pPr>
      <w:r>
        <w:rPr>
          <w:b/>
          <w:color w:val="002D99"/>
          <w:sz w:val="24"/>
          <w:szCs w:val="24"/>
        </w:rPr>
        <w:t xml:space="preserve">3. Métabolisme : </w:t>
      </w:r>
      <w:r>
        <w:rPr>
          <w:b/>
          <w:color w:val="000000"/>
          <w:sz w:val="24"/>
          <w:szCs w:val="24"/>
        </w:rPr>
        <w:t>RAS</w:t>
      </w:r>
    </w:p>
    <w:p w:rsidR="00EB77DC" w:rsidRDefault="00EB77DC" w:rsidP="00EB77DC">
      <w:pPr>
        <w:spacing w:before="1" w:line="160" w:lineRule="exact"/>
        <w:rPr>
          <w:sz w:val="16"/>
          <w:szCs w:val="16"/>
        </w:rPr>
      </w:pPr>
    </w:p>
    <w:p w:rsidR="00EB77DC" w:rsidRDefault="00EB77DC" w:rsidP="00EB77DC">
      <w:pPr>
        <w:ind w:left="153"/>
        <w:rPr>
          <w:sz w:val="24"/>
          <w:szCs w:val="24"/>
        </w:rPr>
      </w:pPr>
      <w:r>
        <w:rPr>
          <w:b/>
          <w:color w:val="002D99"/>
          <w:sz w:val="24"/>
          <w:szCs w:val="24"/>
        </w:rPr>
        <w:t>4. Elimination :</w:t>
      </w:r>
    </w:p>
    <w:p w:rsidR="00EB77DC" w:rsidRDefault="00D2545E" w:rsidP="00EB77DC">
      <w:pPr>
        <w:spacing w:before="41" w:line="279" w:lineRule="auto"/>
        <w:ind w:left="153" w:right="654"/>
        <w:rPr>
          <w:sz w:val="24"/>
          <w:szCs w:val="24"/>
        </w:rPr>
      </w:pPr>
      <w:r w:rsidRPr="00D2545E">
        <w:pict>
          <v:group id="_x0000_s1099" style="position:absolute;left:0;text-align:left;margin-left:54.9pt;margin-top:34.1pt;width:485.4pt;height:1.55pt;z-index:-251650048;mso-position-horizontal-relative:page" coordorigin="1098,682" coordsize="9708,31">
            <v:group id="_x0000_s1100" style="position:absolute;left:1104;top:687;width:9696;height:0" coordorigin="1104,687" coordsize="9696,0">
              <v:shape id="_x0000_s1101" style="position:absolute;left:1104;top:687;width:9696;height:0" coordorigin="1104,687" coordsize="9696,0" path="m1104,687r9696,e" filled="f" strokecolor="#3365fe" strokeweight=".58pt">
                <v:path arrowok="t"/>
              </v:shape>
              <v:group id="_x0000_s1102" style="position:absolute;left:1104;top:707;width:9696;height:0" coordorigin="1104,707" coordsize="9696,0">
                <v:shape id="_x0000_s1103" style="position:absolute;left:1104;top:707;width:9696;height:0" coordorigin="1104,707" coordsize="9696,0" path="m1104,707r9696,e" filled="f" strokecolor="#3365fe" strokeweight=".58pt">
                  <v:path arrowok="t"/>
                </v:shape>
              </v:group>
            </v:group>
            <w10:wrap anchorx="page"/>
          </v:group>
        </w:pict>
      </w:r>
      <w:r w:rsidR="00EB77DC">
        <w:rPr>
          <w:sz w:val="24"/>
          <w:szCs w:val="24"/>
        </w:rPr>
        <w:t>Urines : (80 %), selles : fraction non absorbée + excrétion biliaire, phanères (ongles, cheveux), salive.</w:t>
      </w:r>
    </w:p>
    <w:p w:rsidR="00EB77DC" w:rsidRDefault="00EB77DC" w:rsidP="00EB77DC">
      <w:pPr>
        <w:spacing w:before="45"/>
        <w:ind w:left="153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V. Mécanisme d’action :</w:t>
      </w:r>
    </w:p>
    <w:p w:rsidR="00EB77DC" w:rsidRDefault="00EB77DC" w:rsidP="00EB77DC">
      <w:pPr>
        <w:spacing w:before="41"/>
        <w:ind w:left="153"/>
        <w:rPr>
          <w:sz w:val="24"/>
          <w:szCs w:val="24"/>
        </w:rPr>
      </w:pPr>
      <w:r>
        <w:rPr>
          <w:b/>
          <w:color w:val="002D99"/>
          <w:sz w:val="24"/>
          <w:szCs w:val="24"/>
        </w:rPr>
        <w:t>1. Hématotoxicité :</w:t>
      </w:r>
    </w:p>
    <w:p w:rsidR="00EB77DC" w:rsidRDefault="00EB77DC" w:rsidP="00EB77DC">
      <w:pPr>
        <w:spacing w:before="41"/>
        <w:ind w:left="153"/>
        <w:rPr>
          <w:sz w:val="24"/>
          <w:szCs w:val="24"/>
        </w:rPr>
      </w:pPr>
      <w:r>
        <w:rPr>
          <w:b/>
          <w:color w:val="3E691D"/>
          <w:sz w:val="24"/>
          <w:szCs w:val="24"/>
        </w:rPr>
        <w:t>A. Action centrale = sur la moelle osseuse :</w:t>
      </w:r>
    </w:p>
    <w:p w:rsidR="00EB77DC" w:rsidRDefault="00EB77DC" w:rsidP="00EB77DC">
      <w:pPr>
        <w:spacing w:before="41"/>
        <w:ind w:left="153"/>
        <w:rPr>
          <w:sz w:val="24"/>
          <w:szCs w:val="24"/>
        </w:rPr>
        <w:sectPr w:rsidR="00EB77DC">
          <w:pgSz w:w="11900" w:h="16840"/>
          <w:pgMar w:top="820" w:right="980" w:bottom="280" w:left="980" w:header="601" w:footer="415" w:gutter="0"/>
          <w:cols w:space="720"/>
        </w:sectPr>
      </w:pPr>
      <w:r>
        <w:rPr>
          <w:b/>
          <w:sz w:val="24"/>
          <w:szCs w:val="24"/>
        </w:rPr>
        <w:t>a. Inhibition de la biosynthèse de l’hème :</w:t>
      </w:r>
    </w:p>
    <w:p w:rsidR="00EB77DC" w:rsidRDefault="00EB77DC" w:rsidP="00EB77DC"/>
    <w:p w:rsidR="00EB77DC" w:rsidRDefault="00EB77DC" w:rsidP="00EB77DC"/>
    <w:p w:rsidR="00EB77DC" w:rsidRDefault="00EB77DC" w:rsidP="00EB77DC"/>
    <w:p w:rsidR="00EB77DC" w:rsidRDefault="00EB77DC" w:rsidP="00EB77DC"/>
    <w:p w:rsidR="00EB77DC" w:rsidRDefault="00EB77DC" w:rsidP="00EB77DC"/>
    <w:p w:rsidR="00EB77DC" w:rsidRDefault="00EB77DC" w:rsidP="00EB77DC"/>
    <w:p w:rsidR="00EB77DC" w:rsidRDefault="00EB77DC" w:rsidP="00EB77DC"/>
    <w:p w:rsidR="00EB77DC" w:rsidRDefault="00EB77DC" w:rsidP="00EB77DC">
      <w:r>
        <w:rPr>
          <w:noProof/>
          <w:lang w:val="fr-FR" w:eastAsia="fr-FR"/>
        </w:rPr>
        <w:drawing>
          <wp:inline distT="0" distB="0" distL="0" distR="0">
            <wp:extent cx="5760720" cy="3440613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7DC" w:rsidRDefault="00EB77DC" w:rsidP="00EB77DC"/>
    <w:p w:rsidR="00EB77DC" w:rsidRDefault="00EB77DC" w:rsidP="00EB77DC"/>
    <w:p w:rsidR="00EB77DC" w:rsidRDefault="00EB77DC" w:rsidP="00EB77DC"/>
    <w:p w:rsidR="00EB77DC" w:rsidRDefault="00EB77DC" w:rsidP="00EB77DC"/>
    <w:p w:rsidR="00EB77DC" w:rsidRDefault="00EB77DC" w:rsidP="00EB77DC"/>
    <w:p w:rsidR="00EB77DC" w:rsidRDefault="00EB77DC" w:rsidP="00EB77DC">
      <w:pPr>
        <w:spacing w:before="29"/>
        <w:ind w:left="153"/>
        <w:rPr>
          <w:sz w:val="24"/>
          <w:szCs w:val="24"/>
        </w:rPr>
      </w:pPr>
      <w:r>
        <w:rPr>
          <w:b/>
          <w:sz w:val="24"/>
          <w:szCs w:val="24"/>
        </w:rPr>
        <w:t>Conséquenses :</w:t>
      </w:r>
    </w:p>
    <w:p w:rsidR="00EB77DC" w:rsidRDefault="00EB77DC" w:rsidP="00EB77DC">
      <w:pPr>
        <w:spacing w:line="260" w:lineRule="exact"/>
        <w:ind w:left="153"/>
        <w:rPr>
          <w:sz w:val="24"/>
          <w:szCs w:val="24"/>
        </w:rPr>
      </w:pPr>
      <w:r>
        <w:rPr>
          <w:sz w:val="24"/>
          <w:szCs w:val="24"/>
        </w:rPr>
        <w:t xml:space="preserve">Baise de la synthese de l’hémoglobine </w:t>
      </w:r>
      <w:r>
        <w:rPr>
          <w:rFonts w:ascii="BatangChe" w:eastAsia="BatangChe" w:hAnsi="BatangChe" w:cs="BatangChe"/>
          <w:w w:val="60"/>
          <w:sz w:val="24"/>
          <w:szCs w:val="24"/>
        </w:rPr>
        <w:t>⇒</w:t>
      </w:r>
      <w:r>
        <w:rPr>
          <w:rFonts w:ascii="BatangChe" w:eastAsia="BatangChe" w:hAnsi="BatangChe" w:cs="BatangChe"/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Anémie</w:t>
      </w:r>
    </w:p>
    <w:p w:rsidR="00EB77DC" w:rsidRDefault="00EB77DC" w:rsidP="00EB77DC">
      <w:pPr>
        <w:spacing w:before="4" w:line="260" w:lineRule="exact"/>
        <w:ind w:left="153" w:right="3677"/>
        <w:rPr>
          <w:sz w:val="24"/>
          <w:szCs w:val="24"/>
        </w:rPr>
      </w:pPr>
      <w:r>
        <w:rPr>
          <w:sz w:val="24"/>
          <w:szCs w:val="24"/>
        </w:rPr>
        <w:t xml:space="preserve">Accumulation d’ALA plasmatique </w:t>
      </w:r>
      <w:r>
        <w:rPr>
          <w:rFonts w:ascii="BatangChe" w:eastAsia="BatangChe" w:hAnsi="BatangChe" w:cs="BatangChe"/>
          <w:w w:val="60"/>
          <w:sz w:val="24"/>
          <w:szCs w:val="24"/>
        </w:rPr>
        <w:t>⇒</w:t>
      </w:r>
      <w:r>
        <w:rPr>
          <w:rFonts w:ascii="BatangChe" w:eastAsia="BatangChe" w:hAnsi="BatangChe" w:cs="BatangChe"/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Excrétion urinaire élevée. Stress Oxydatif + relargage du fer de la ferritine.</w:t>
      </w:r>
    </w:p>
    <w:p w:rsidR="00EB77DC" w:rsidRDefault="00EB77DC" w:rsidP="00EB77DC">
      <w:pPr>
        <w:spacing w:line="260" w:lineRule="exact"/>
        <w:ind w:left="153"/>
        <w:rPr>
          <w:sz w:val="24"/>
          <w:szCs w:val="24"/>
        </w:rPr>
      </w:pPr>
      <w:r>
        <w:rPr>
          <w:sz w:val="24"/>
          <w:szCs w:val="24"/>
        </w:rPr>
        <w:t>Accumulation de zinc-protoporphyrine IX (ZPP)  caractéristique de l’intoxication chronique</w:t>
      </w:r>
    </w:p>
    <w:p w:rsidR="00EB77DC" w:rsidRDefault="00EB77DC" w:rsidP="00EB77DC">
      <w:pPr>
        <w:spacing w:before="8" w:line="100" w:lineRule="exact"/>
        <w:rPr>
          <w:sz w:val="11"/>
          <w:szCs w:val="11"/>
        </w:rPr>
      </w:pPr>
    </w:p>
    <w:p w:rsidR="00EB77DC" w:rsidRDefault="00EB77DC" w:rsidP="00EB77DC">
      <w:pPr>
        <w:ind w:left="153"/>
        <w:rPr>
          <w:sz w:val="24"/>
          <w:szCs w:val="24"/>
        </w:rPr>
      </w:pPr>
      <w:r>
        <w:rPr>
          <w:b/>
          <w:sz w:val="24"/>
          <w:szCs w:val="24"/>
        </w:rPr>
        <w:t>A2. Action sur la lignée myéloïde :</w:t>
      </w:r>
    </w:p>
    <w:p w:rsidR="00EB77DC" w:rsidRDefault="00EB77DC" w:rsidP="00EB77DC">
      <w:pPr>
        <w:spacing w:line="260" w:lineRule="exact"/>
        <w:ind w:left="153"/>
        <w:rPr>
          <w:sz w:val="24"/>
          <w:szCs w:val="24"/>
        </w:rPr>
      </w:pPr>
      <w:r>
        <w:rPr>
          <w:sz w:val="24"/>
          <w:szCs w:val="24"/>
        </w:rPr>
        <w:t xml:space="preserve">↑ précurseurs + ↓cellules matures  </w:t>
      </w:r>
      <w:r>
        <w:rPr>
          <w:rFonts w:ascii="BatangChe" w:eastAsia="BatangChe" w:hAnsi="BatangChe" w:cs="BatangChe"/>
          <w:w w:val="60"/>
          <w:sz w:val="24"/>
          <w:szCs w:val="24"/>
        </w:rPr>
        <w:t>⇒</w:t>
      </w:r>
      <w:r>
        <w:rPr>
          <w:rFonts w:ascii="BatangChe" w:eastAsia="BatangChe" w:hAnsi="BatangChe" w:cs="BatangChe"/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Réduction de l’immunité.</w:t>
      </w:r>
    </w:p>
    <w:p w:rsidR="00EB77DC" w:rsidRDefault="00EB77DC" w:rsidP="00EB77DC">
      <w:pPr>
        <w:spacing w:before="1" w:line="120" w:lineRule="exact"/>
        <w:rPr>
          <w:sz w:val="13"/>
          <w:szCs w:val="13"/>
        </w:rPr>
      </w:pPr>
    </w:p>
    <w:p w:rsidR="00EB77DC" w:rsidRDefault="00EB77DC" w:rsidP="00EB77DC">
      <w:pPr>
        <w:ind w:left="153"/>
        <w:rPr>
          <w:sz w:val="21"/>
          <w:szCs w:val="21"/>
        </w:rPr>
      </w:pPr>
      <w:r>
        <w:rPr>
          <w:b/>
          <w:color w:val="3E691D"/>
          <w:spacing w:val="3"/>
          <w:sz w:val="21"/>
          <w:szCs w:val="21"/>
        </w:rPr>
        <w:t>B</w:t>
      </w:r>
      <w:r>
        <w:rPr>
          <w:b/>
          <w:color w:val="3E691D"/>
          <w:sz w:val="21"/>
          <w:szCs w:val="21"/>
        </w:rPr>
        <w:t>.</w:t>
      </w:r>
      <w:r>
        <w:rPr>
          <w:b/>
          <w:color w:val="3E691D"/>
          <w:spacing w:val="7"/>
          <w:sz w:val="21"/>
          <w:szCs w:val="21"/>
        </w:rPr>
        <w:t xml:space="preserve"> </w:t>
      </w:r>
      <w:r>
        <w:rPr>
          <w:b/>
          <w:color w:val="3E691D"/>
          <w:spacing w:val="3"/>
          <w:sz w:val="21"/>
          <w:szCs w:val="21"/>
        </w:rPr>
        <w:t>A</w:t>
      </w:r>
      <w:r>
        <w:rPr>
          <w:b/>
          <w:color w:val="3E691D"/>
          <w:spacing w:val="2"/>
          <w:sz w:val="21"/>
          <w:szCs w:val="21"/>
        </w:rPr>
        <w:t>c</w:t>
      </w:r>
      <w:r>
        <w:rPr>
          <w:b/>
          <w:color w:val="3E691D"/>
          <w:spacing w:val="1"/>
          <w:sz w:val="21"/>
          <w:szCs w:val="21"/>
        </w:rPr>
        <w:t>ti</w:t>
      </w:r>
      <w:r>
        <w:rPr>
          <w:b/>
          <w:color w:val="3E691D"/>
          <w:spacing w:val="2"/>
          <w:sz w:val="21"/>
          <w:szCs w:val="21"/>
        </w:rPr>
        <w:t>o</w:t>
      </w:r>
      <w:r>
        <w:rPr>
          <w:b/>
          <w:color w:val="3E691D"/>
          <w:sz w:val="21"/>
          <w:szCs w:val="21"/>
        </w:rPr>
        <w:t>n</w:t>
      </w:r>
      <w:r>
        <w:rPr>
          <w:b/>
          <w:color w:val="3E691D"/>
          <w:spacing w:val="18"/>
          <w:sz w:val="21"/>
          <w:szCs w:val="21"/>
        </w:rPr>
        <w:t xml:space="preserve"> </w:t>
      </w:r>
      <w:r>
        <w:rPr>
          <w:b/>
          <w:color w:val="3E691D"/>
          <w:spacing w:val="2"/>
          <w:sz w:val="21"/>
          <w:szCs w:val="21"/>
        </w:rPr>
        <w:t>pér</w:t>
      </w:r>
      <w:r>
        <w:rPr>
          <w:b/>
          <w:color w:val="3E691D"/>
          <w:spacing w:val="1"/>
          <w:sz w:val="21"/>
          <w:szCs w:val="21"/>
        </w:rPr>
        <w:t>i</w:t>
      </w:r>
      <w:r>
        <w:rPr>
          <w:b/>
          <w:color w:val="3E691D"/>
          <w:spacing w:val="2"/>
          <w:sz w:val="21"/>
          <w:szCs w:val="21"/>
        </w:rPr>
        <w:t>phér</w:t>
      </w:r>
      <w:r>
        <w:rPr>
          <w:b/>
          <w:color w:val="3E691D"/>
          <w:spacing w:val="1"/>
          <w:sz w:val="21"/>
          <w:szCs w:val="21"/>
        </w:rPr>
        <w:t>i</w:t>
      </w:r>
      <w:r>
        <w:rPr>
          <w:b/>
          <w:color w:val="3E691D"/>
          <w:spacing w:val="2"/>
          <w:sz w:val="21"/>
          <w:szCs w:val="21"/>
        </w:rPr>
        <w:t>qu</w:t>
      </w:r>
      <w:r>
        <w:rPr>
          <w:b/>
          <w:color w:val="3E691D"/>
          <w:sz w:val="21"/>
          <w:szCs w:val="21"/>
        </w:rPr>
        <w:t>e</w:t>
      </w:r>
      <w:r>
        <w:rPr>
          <w:b/>
          <w:color w:val="3E691D"/>
          <w:spacing w:val="33"/>
          <w:sz w:val="21"/>
          <w:szCs w:val="21"/>
        </w:rPr>
        <w:t xml:space="preserve"> </w:t>
      </w:r>
      <w:r>
        <w:rPr>
          <w:b/>
          <w:color w:val="3E691D"/>
          <w:spacing w:val="1"/>
          <w:sz w:val="21"/>
          <w:szCs w:val="21"/>
        </w:rPr>
        <w:t>(</w:t>
      </w:r>
      <w:r>
        <w:rPr>
          <w:b/>
          <w:color w:val="3E691D"/>
          <w:spacing w:val="2"/>
          <w:sz w:val="21"/>
          <w:szCs w:val="21"/>
        </w:rPr>
        <w:t>su</w:t>
      </w:r>
      <w:r>
        <w:rPr>
          <w:b/>
          <w:color w:val="3E691D"/>
          <w:sz w:val="21"/>
          <w:szCs w:val="21"/>
        </w:rPr>
        <w:t>r</w:t>
      </w:r>
      <w:r>
        <w:rPr>
          <w:b/>
          <w:color w:val="3E691D"/>
          <w:spacing w:val="12"/>
          <w:sz w:val="21"/>
          <w:szCs w:val="21"/>
        </w:rPr>
        <w:t xml:space="preserve"> </w:t>
      </w:r>
      <w:r>
        <w:rPr>
          <w:b/>
          <w:color w:val="3E691D"/>
          <w:spacing w:val="1"/>
          <w:sz w:val="21"/>
          <w:szCs w:val="21"/>
        </w:rPr>
        <w:t>l</w:t>
      </w:r>
      <w:r>
        <w:rPr>
          <w:b/>
          <w:color w:val="3E691D"/>
          <w:spacing w:val="2"/>
          <w:sz w:val="21"/>
          <w:szCs w:val="21"/>
        </w:rPr>
        <w:t>e</w:t>
      </w:r>
      <w:r>
        <w:rPr>
          <w:b/>
          <w:color w:val="3E691D"/>
          <w:sz w:val="21"/>
          <w:szCs w:val="21"/>
        </w:rPr>
        <w:t>s</w:t>
      </w:r>
      <w:r>
        <w:rPr>
          <w:b/>
          <w:color w:val="3E691D"/>
          <w:spacing w:val="10"/>
          <w:sz w:val="21"/>
          <w:szCs w:val="21"/>
        </w:rPr>
        <w:t xml:space="preserve"> </w:t>
      </w:r>
      <w:r>
        <w:rPr>
          <w:b/>
          <w:color w:val="3E691D"/>
          <w:spacing w:val="2"/>
          <w:sz w:val="21"/>
          <w:szCs w:val="21"/>
        </w:rPr>
        <w:t>éry</w:t>
      </w:r>
      <w:r>
        <w:rPr>
          <w:b/>
          <w:color w:val="3E691D"/>
          <w:spacing w:val="1"/>
          <w:sz w:val="21"/>
          <w:szCs w:val="21"/>
        </w:rPr>
        <w:t>t</w:t>
      </w:r>
      <w:r>
        <w:rPr>
          <w:b/>
          <w:color w:val="3E691D"/>
          <w:spacing w:val="2"/>
          <w:sz w:val="21"/>
          <w:szCs w:val="21"/>
        </w:rPr>
        <w:t>hrocy</w:t>
      </w:r>
      <w:r>
        <w:rPr>
          <w:b/>
          <w:color w:val="3E691D"/>
          <w:spacing w:val="1"/>
          <w:sz w:val="21"/>
          <w:szCs w:val="21"/>
        </w:rPr>
        <w:t>t</w:t>
      </w:r>
      <w:r>
        <w:rPr>
          <w:b/>
          <w:color w:val="3E691D"/>
          <w:spacing w:val="2"/>
          <w:sz w:val="21"/>
          <w:szCs w:val="21"/>
        </w:rPr>
        <w:t>e</w:t>
      </w:r>
      <w:r>
        <w:rPr>
          <w:b/>
          <w:color w:val="3E691D"/>
          <w:sz w:val="21"/>
          <w:szCs w:val="21"/>
        </w:rPr>
        <w:t>s</w:t>
      </w:r>
      <w:r>
        <w:rPr>
          <w:b/>
          <w:color w:val="3E691D"/>
          <w:spacing w:val="31"/>
          <w:sz w:val="21"/>
          <w:szCs w:val="21"/>
        </w:rPr>
        <w:t xml:space="preserve"> </w:t>
      </w:r>
      <w:r>
        <w:rPr>
          <w:b/>
          <w:color w:val="3E691D"/>
          <w:spacing w:val="2"/>
          <w:w w:val="103"/>
          <w:sz w:val="21"/>
          <w:szCs w:val="21"/>
        </w:rPr>
        <w:t>c</w:t>
      </w:r>
      <w:r>
        <w:rPr>
          <w:b/>
          <w:color w:val="3E691D"/>
          <w:spacing w:val="1"/>
          <w:w w:val="103"/>
          <w:sz w:val="21"/>
          <w:szCs w:val="21"/>
        </w:rPr>
        <w:t>i</w:t>
      </w:r>
      <w:r>
        <w:rPr>
          <w:b/>
          <w:color w:val="3E691D"/>
          <w:spacing w:val="2"/>
          <w:w w:val="103"/>
          <w:sz w:val="21"/>
          <w:szCs w:val="21"/>
        </w:rPr>
        <w:t>rc</w:t>
      </w:r>
      <w:r>
        <w:rPr>
          <w:b/>
          <w:color w:val="3E691D"/>
          <w:spacing w:val="2"/>
          <w:w w:val="102"/>
          <w:sz w:val="21"/>
          <w:szCs w:val="21"/>
        </w:rPr>
        <w:t>u</w:t>
      </w:r>
      <w:r>
        <w:rPr>
          <w:b/>
          <w:color w:val="3E691D"/>
          <w:spacing w:val="1"/>
          <w:w w:val="103"/>
          <w:sz w:val="21"/>
          <w:szCs w:val="21"/>
        </w:rPr>
        <w:t>l</w:t>
      </w:r>
      <w:r>
        <w:rPr>
          <w:b/>
          <w:color w:val="3E691D"/>
          <w:spacing w:val="2"/>
          <w:w w:val="102"/>
          <w:sz w:val="21"/>
          <w:szCs w:val="21"/>
        </w:rPr>
        <w:t>an</w:t>
      </w:r>
      <w:r>
        <w:rPr>
          <w:b/>
          <w:color w:val="3E691D"/>
          <w:spacing w:val="1"/>
          <w:w w:val="102"/>
          <w:sz w:val="21"/>
          <w:szCs w:val="21"/>
        </w:rPr>
        <w:t>t</w:t>
      </w:r>
      <w:r>
        <w:rPr>
          <w:b/>
          <w:color w:val="3E691D"/>
          <w:w w:val="102"/>
          <w:sz w:val="21"/>
          <w:szCs w:val="21"/>
        </w:rPr>
        <w:t>)</w:t>
      </w:r>
    </w:p>
    <w:p w:rsidR="00EB77DC" w:rsidRDefault="00EB77DC" w:rsidP="00EB77DC">
      <w:pPr>
        <w:spacing w:before="4"/>
        <w:ind w:left="153"/>
        <w:rPr>
          <w:sz w:val="24"/>
          <w:szCs w:val="24"/>
        </w:rPr>
      </w:pPr>
      <w:r>
        <w:rPr>
          <w:b/>
          <w:sz w:val="24"/>
          <w:szCs w:val="24"/>
        </w:rPr>
        <w:t>Inhibition pyrimidine 5’-nucléotidase :</w:t>
      </w:r>
    </w:p>
    <w:p w:rsidR="00EB77DC" w:rsidRDefault="00EB77DC" w:rsidP="00EB77DC">
      <w:pPr>
        <w:spacing w:line="260" w:lineRule="exact"/>
        <w:ind w:left="1653"/>
        <w:rPr>
          <w:sz w:val="24"/>
          <w:szCs w:val="24"/>
        </w:rPr>
      </w:pPr>
      <w:r>
        <w:rPr>
          <w:rFonts w:ascii="BatangChe" w:eastAsia="BatangChe" w:hAnsi="BatangChe" w:cs="BatangChe"/>
          <w:w w:val="60"/>
          <w:sz w:val="24"/>
          <w:szCs w:val="24"/>
        </w:rPr>
        <w:t>⇒</w:t>
      </w:r>
      <w:r>
        <w:rPr>
          <w:rFonts w:ascii="BatangChe" w:eastAsia="BatangChe" w:hAnsi="BatangChe" w:cs="BatangChe"/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accumulation nucléosides pyrimidiques</w:t>
      </w:r>
    </w:p>
    <w:p w:rsidR="00EB77DC" w:rsidRDefault="00EB77DC" w:rsidP="00EB77DC">
      <w:pPr>
        <w:spacing w:line="260" w:lineRule="exact"/>
        <w:ind w:left="1653"/>
        <w:rPr>
          <w:sz w:val="24"/>
          <w:szCs w:val="24"/>
        </w:rPr>
      </w:pPr>
      <w:r>
        <w:rPr>
          <w:rFonts w:ascii="BatangChe" w:eastAsia="BatangChe" w:hAnsi="BatangChe" w:cs="BatangChe"/>
          <w:w w:val="60"/>
          <w:sz w:val="24"/>
          <w:szCs w:val="24"/>
        </w:rPr>
        <w:t>⇒</w:t>
      </w:r>
      <w:r>
        <w:rPr>
          <w:rFonts w:ascii="BatangChe" w:eastAsia="BatangChe" w:hAnsi="BatangChe" w:cs="BatangChe"/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précipitation nucléosides en excès</w:t>
      </w:r>
    </w:p>
    <w:p w:rsidR="00EB77DC" w:rsidRDefault="00EB77DC" w:rsidP="00EB77DC">
      <w:pPr>
        <w:spacing w:line="280" w:lineRule="exact"/>
        <w:ind w:left="1653"/>
        <w:rPr>
          <w:sz w:val="24"/>
          <w:szCs w:val="24"/>
        </w:rPr>
      </w:pPr>
      <w:r>
        <w:rPr>
          <w:rFonts w:ascii="BatangChe" w:eastAsia="BatangChe" w:hAnsi="BatangChe" w:cs="BatangChe"/>
          <w:w w:val="60"/>
          <w:sz w:val="24"/>
          <w:szCs w:val="24"/>
        </w:rPr>
        <w:t>⇒</w:t>
      </w:r>
      <w:r>
        <w:rPr>
          <w:rFonts w:ascii="BatangChe" w:eastAsia="BatangChe" w:hAnsi="BatangChe" w:cs="BatangChe"/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formation granulations basophiles</w:t>
      </w:r>
    </w:p>
    <w:p w:rsidR="00EB77DC" w:rsidRDefault="00EB77DC" w:rsidP="00EB77DC">
      <w:pPr>
        <w:spacing w:line="260" w:lineRule="exact"/>
        <w:ind w:left="1653"/>
        <w:rPr>
          <w:sz w:val="24"/>
          <w:szCs w:val="24"/>
        </w:rPr>
      </w:pPr>
      <w:r>
        <w:rPr>
          <w:rFonts w:ascii="BatangChe" w:eastAsia="BatangChe" w:hAnsi="BatangChe" w:cs="BatangChe"/>
          <w:w w:val="60"/>
          <w:sz w:val="24"/>
          <w:szCs w:val="24"/>
        </w:rPr>
        <w:t>⇒</w:t>
      </w:r>
      <w:r>
        <w:rPr>
          <w:rFonts w:ascii="BatangChe" w:eastAsia="BatangChe" w:hAnsi="BatangChe" w:cs="BatangChe"/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hématies ponctuées</w:t>
      </w:r>
    </w:p>
    <w:p w:rsidR="00EB77DC" w:rsidRDefault="00EB77DC" w:rsidP="00EB77DC">
      <w:pPr>
        <w:spacing w:before="7" w:line="120" w:lineRule="exact"/>
        <w:rPr>
          <w:sz w:val="12"/>
          <w:szCs w:val="12"/>
        </w:rPr>
      </w:pPr>
    </w:p>
    <w:p w:rsidR="00EB77DC" w:rsidRDefault="00EB77DC" w:rsidP="00EB77DC">
      <w:pPr>
        <w:ind w:left="153"/>
        <w:rPr>
          <w:sz w:val="24"/>
          <w:szCs w:val="24"/>
        </w:rPr>
      </w:pPr>
      <w:r>
        <w:rPr>
          <w:b/>
          <w:sz w:val="24"/>
          <w:szCs w:val="24"/>
        </w:rPr>
        <w:t>Fragilisation de la membrane érythrocytaire :</w:t>
      </w:r>
    </w:p>
    <w:p w:rsidR="00EB77DC" w:rsidRDefault="00EB77DC" w:rsidP="00EB77DC">
      <w:pPr>
        <w:spacing w:line="260" w:lineRule="exact"/>
        <w:ind w:left="153"/>
        <w:rPr>
          <w:sz w:val="24"/>
          <w:szCs w:val="24"/>
        </w:rPr>
      </w:pPr>
      <w:r>
        <w:rPr>
          <w:sz w:val="24"/>
          <w:szCs w:val="24"/>
        </w:rPr>
        <w:t>L’effet pro-oxydant du Pb : Accumulation de l’ion superoxyde</w:t>
      </w:r>
    </w:p>
    <w:p w:rsidR="00EB77DC" w:rsidRDefault="00EB77DC" w:rsidP="00EB77DC">
      <w:pPr>
        <w:spacing w:before="7" w:line="260" w:lineRule="exact"/>
        <w:ind w:left="153" w:right="398"/>
        <w:rPr>
          <w:sz w:val="24"/>
          <w:szCs w:val="24"/>
        </w:rPr>
      </w:pPr>
      <w:r>
        <w:rPr>
          <w:sz w:val="24"/>
          <w:szCs w:val="24"/>
        </w:rPr>
        <w:t>L’inhibition de la pompe Na+/K+ membranaire : perturbation du transport actif et réduction de la viabilité des érythrocytes.</w:t>
      </w:r>
    </w:p>
    <w:p w:rsidR="00EB77DC" w:rsidRDefault="00EB77DC" w:rsidP="00EB77DC">
      <w:pPr>
        <w:spacing w:before="5" w:line="100" w:lineRule="exact"/>
        <w:rPr>
          <w:sz w:val="11"/>
          <w:szCs w:val="11"/>
        </w:rPr>
      </w:pPr>
    </w:p>
    <w:p w:rsidR="00EB77DC" w:rsidRDefault="00EB77DC" w:rsidP="00EB77DC">
      <w:pPr>
        <w:ind w:left="153"/>
        <w:rPr>
          <w:sz w:val="24"/>
          <w:szCs w:val="24"/>
        </w:rPr>
      </w:pPr>
      <w:r>
        <w:rPr>
          <w:b/>
          <w:color w:val="002D99"/>
          <w:sz w:val="24"/>
          <w:szCs w:val="24"/>
        </w:rPr>
        <w:t>2. Altération de l’homéostasie calcique :</w:t>
      </w:r>
    </w:p>
    <w:p w:rsidR="00EB77DC" w:rsidRDefault="00EB77DC" w:rsidP="00EB77DC">
      <w:pPr>
        <w:spacing w:before="2"/>
        <w:ind w:left="153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Pb2+a une affinité &gt; Ca2+ pour la calmoduline et CPK</w:t>
      </w:r>
    </w:p>
    <w:p w:rsidR="00EB77DC" w:rsidRDefault="00EB77DC" w:rsidP="00EB77DC">
      <w:pPr>
        <w:spacing w:line="260" w:lineRule="exact"/>
        <w:ind w:left="731"/>
        <w:rPr>
          <w:sz w:val="24"/>
          <w:szCs w:val="24"/>
        </w:rPr>
      </w:pPr>
      <w:r>
        <w:rPr>
          <w:rFonts w:ascii="BatangChe" w:eastAsia="BatangChe" w:hAnsi="BatangChe" w:cs="BatangChe"/>
          <w:w w:val="60"/>
          <w:sz w:val="24"/>
          <w:szCs w:val="24"/>
        </w:rPr>
        <w:t>⇒</w:t>
      </w:r>
      <w:r>
        <w:rPr>
          <w:rFonts w:ascii="BatangChe" w:eastAsia="BatangChe" w:hAnsi="BatangChe" w:cs="BatangChe"/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Altération des mécanismes de signalisation.</w:t>
      </w:r>
    </w:p>
    <w:p w:rsidR="00EB77DC" w:rsidRDefault="00EB77DC" w:rsidP="00EB77DC">
      <w:pPr>
        <w:spacing w:line="280" w:lineRule="exact"/>
        <w:ind w:left="731"/>
        <w:rPr>
          <w:sz w:val="24"/>
          <w:szCs w:val="24"/>
        </w:rPr>
      </w:pPr>
      <w:r>
        <w:rPr>
          <w:rFonts w:ascii="BatangChe" w:eastAsia="BatangChe" w:hAnsi="BatangChe" w:cs="BatangChe"/>
          <w:w w:val="60"/>
          <w:sz w:val="24"/>
          <w:szCs w:val="24"/>
        </w:rPr>
        <w:t>⇒</w:t>
      </w:r>
      <w:r>
        <w:rPr>
          <w:rFonts w:ascii="BatangChe" w:eastAsia="BatangChe" w:hAnsi="BatangChe" w:cs="BatangChe"/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Interférence avec la captation+ stockage Ca2+ dans la mitochondrie.</w:t>
      </w:r>
    </w:p>
    <w:p w:rsidR="00EB77DC" w:rsidRDefault="00EB77DC" w:rsidP="00EB77DC">
      <w:pPr>
        <w:spacing w:before="2"/>
        <w:ind w:left="153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Pb traverse la BHE car se substitue au Ca 2+ et dépôt du Pb dans le cerveau.</w:t>
      </w:r>
    </w:p>
    <w:p w:rsidR="00EB77DC" w:rsidRDefault="00EB77DC" w:rsidP="00EB77DC">
      <w:pPr>
        <w:spacing w:before="2" w:line="120" w:lineRule="exact"/>
        <w:rPr>
          <w:sz w:val="12"/>
          <w:szCs w:val="12"/>
        </w:rPr>
      </w:pPr>
    </w:p>
    <w:p w:rsidR="00EB77DC" w:rsidRDefault="00EB77DC" w:rsidP="00EB77DC">
      <w:pPr>
        <w:ind w:left="153"/>
        <w:rPr>
          <w:sz w:val="24"/>
          <w:szCs w:val="24"/>
        </w:rPr>
      </w:pPr>
      <w:r>
        <w:rPr>
          <w:b/>
          <w:color w:val="002D99"/>
          <w:sz w:val="24"/>
          <w:szCs w:val="24"/>
        </w:rPr>
        <w:t>3. Neurotoxicité :</w:t>
      </w:r>
    </w:p>
    <w:p w:rsidR="00EB77DC" w:rsidRDefault="00EB77DC" w:rsidP="00EB77DC">
      <w:pPr>
        <w:spacing w:line="260" w:lineRule="exact"/>
        <w:ind w:left="153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Inhibition du métabolisme énergétique aérobie.</w:t>
      </w:r>
    </w:p>
    <w:p w:rsidR="00EB77DC" w:rsidRDefault="00EB77DC" w:rsidP="00EB77DC">
      <w:pPr>
        <w:spacing w:before="2"/>
        <w:ind w:left="153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Substitution du calcium par le plomb.</w:t>
      </w:r>
    </w:p>
    <w:p w:rsidR="00EB77DC" w:rsidRDefault="00EB77DC" w:rsidP="00EB77DC">
      <w:pPr>
        <w:spacing w:line="260" w:lineRule="exact"/>
        <w:ind w:left="153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Inhibition de l'activité Na+/K+-ATPase</w:t>
      </w:r>
    </w:p>
    <w:p w:rsidR="00EB77DC" w:rsidRDefault="00EB77DC" w:rsidP="00EB77DC">
      <w:pPr>
        <w:spacing w:before="2"/>
        <w:ind w:left="153"/>
        <w:rPr>
          <w:sz w:val="24"/>
          <w:szCs w:val="24"/>
        </w:rPr>
      </w:pPr>
      <w:r>
        <w:rPr>
          <w:sz w:val="24"/>
          <w:szCs w:val="24"/>
        </w:rPr>
        <w:lastRenderedPageBreak/>
        <w:t>•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Blocage des canaux calciques voltage dépendants.</w:t>
      </w:r>
    </w:p>
    <w:p w:rsidR="00EB77DC" w:rsidRDefault="00EB77DC" w:rsidP="00EB77DC">
      <w:pPr>
        <w:spacing w:line="260" w:lineRule="exact"/>
        <w:ind w:left="153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Blocage ou suractivation des récepteurs du glutamate (NMDA).</w:t>
      </w:r>
    </w:p>
    <w:p w:rsidR="00EB77DC" w:rsidRDefault="00EB77DC" w:rsidP="00EB77DC">
      <w:pPr>
        <w:rPr>
          <w:b/>
          <w:sz w:val="24"/>
          <w:szCs w:val="24"/>
        </w:rPr>
      </w:pPr>
      <w:r>
        <w:rPr>
          <w:rFonts w:ascii="BatangChe" w:eastAsia="BatangChe" w:hAnsi="BatangChe" w:cs="BatangChe"/>
          <w:b/>
          <w:w w:val="61"/>
          <w:sz w:val="24"/>
          <w:szCs w:val="24"/>
        </w:rPr>
        <w:t>⇒</w:t>
      </w:r>
      <w:r>
        <w:rPr>
          <w:rFonts w:ascii="BatangChe" w:eastAsia="BatangChe" w:hAnsi="BatangChe" w:cs="BatangChe"/>
          <w:b/>
          <w:spacing w:val="-58"/>
          <w:sz w:val="24"/>
          <w:szCs w:val="24"/>
        </w:rPr>
        <w:t xml:space="preserve"> </w:t>
      </w:r>
      <w:r>
        <w:rPr>
          <w:b/>
          <w:sz w:val="24"/>
          <w:szCs w:val="24"/>
        </w:rPr>
        <w:t>encéphalopathies et de neuropathies périphériques.</w:t>
      </w:r>
    </w:p>
    <w:p w:rsidR="00EB77DC" w:rsidRDefault="00EB77DC" w:rsidP="00EB77DC">
      <w:pPr>
        <w:rPr>
          <w:b/>
          <w:sz w:val="24"/>
          <w:szCs w:val="24"/>
        </w:rPr>
      </w:pPr>
    </w:p>
    <w:p w:rsidR="00EB77DC" w:rsidRDefault="00EB77DC" w:rsidP="00EB77DC">
      <w:pPr>
        <w:spacing w:before="29"/>
        <w:ind w:left="153"/>
        <w:rPr>
          <w:sz w:val="24"/>
          <w:szCs w:val="24"/>
        </w:rPr>
      </w:pPr>
      <w:r>
        <w:rPr>
          <w:b/>
          <w:color w:val="002D99"/>
          <w:sz w:val="24"/>
          <w:szCs w:val="24"/>
        </w:rPr>
        <w:t>4. Néphrotoxicité :</w:t>
      </w:r>
    </w:p>
    <w:p w:rsidR="00EB77DC" w:rsidRDefault="00EB77DC" w:rsidP="00EB77DC">
      <w:pPr>
        <w:spacing w:before="2"/>
        <w:ind w:left="153"/>
        <w:rPr>
          <w:sz w:val="24"/>
          <w:szCs w:val="24"/>
        </w:rPr>
      </w:pPr>
      <w:r>
        <w:rPr>
          <w:sz w:val="24"/>
          <w:szCs w:val="24"/>
        </w:rPr>
        <w:t>Inhibitions enzymatiques + dommages oxydatifs :</w:t>
      </w:r>
    </w:p>
    <w:p w:rsidR="00EB77DC" w:rsidRDefault="00EB77DC" w:rsidP="00EB77DC">
      <w:pPr>
        <w:spacing w:line="260" w:lineRule="exact"/>
        <w:ind w:left="153"/>
        <w:rPr>
          <w:sz w:val="24"/>
          <w:szCs w:val="24"/>
        </w:rPr>
      </w:pPr>
      <w:r>
        <w:rPr>
          <w:rFonts w:ascii="BatangChe" w:eastAsia="BatangChe" w:hAnsi="BatangChe" w:cs="BatangChe"/>
          <w:w w:val="60"/>
          <w:sz w:val="24"/>
          <w:szCs w:val="24"/>
        </w:rPr>
        <w:t>⇒</w:t>
      </w:r>
      <w:r>
        <w:rPr>
          <w:rFonts w:ascii="BatangChe" w:eastAsia="BatangChe" w:hAnsi="BatangChe" w:cs="BatangChe"/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Atteintes tubulaires proximales aigues ;</w:t>
      </w:r>
    </w:p>
    <w:p w:rsidR="00EB77DC" w:rsidRDefault="00EB77DC" w:rsidP="00EB77DC">
      <w:pPr>
        <w:spacing w:line="280" w:lineRule="exact"/>
        <w:ind w:left="153"/>
        <w:rPr>
          <w:sz w:val="24"/>
          <w:szCs w:val="24"/>
        </w:rPr>
      </w:pPr>
      <w:r>
        <w:rPr>
          <w:rFonts w:ascii="BatangChe" w:eastAsia="BatangChe" w:hAnsi="BatangChe" w:cs="BatangChe"/>
          <w:w w:val="60"/>
          <w:sz w:val="24"/>
          <w:szCs w:val="24"/>
        </w:rPr>
        <w:t>⇒</w:t>
      </w:r>
      <w:r>
        <w:rPr>
          <w:rFonts w:ascii="BatangChe" w:eastAsia="BatangChe" w:hAnsi="BatangChe" w:cs="BatangChe"/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Néphropathies interstitielles évoluant vers l’atrophie et la fibrose ;</w:t>
      </w:r>
    </w:p>
    <w:p w:rsidR="00EB77DC" w:rsidRDefault="00EB77DC" w:rsidP="00EB77DC">
      <w:pPr>
        <w:spacing w:line="260" w:lineRule="exact"/>
        <w:ind w:left="153"/>
        <w:rPr>
          <w:sz w:val="24"/>
          <w:szCs w:val="24"/>
        </w:rPr>
      </w:pPr>
      <w:r>
        <w:rPr>
          <w:rFonts w:ascii="BatangChe" w:eastAsia="BatangChe" w:hAnsi="BatangChe" w:cs="BatangChe"/>
          <w:w w:val="60"/>
          <w:sz w:val="24"/>
          <w:szCs w:val="24"/>
        </w:rPr>
        <w:t>⇒</w:t>
      </w:r>
      <w:r>
        <w:rPr>
          <w:rFonts w:ascii="BatangChe" w:eastAsia="BatangChe" w:hAnsi="BatangChe" w:cs="BatangChe"/>
          <w:spacing w:val="-60"/>
          <w:sz w:val="24"/>
          <w:szCs w:val="24"/>
        </w:rPr>
        <w:t xml:space="preserve"> </w:t>
      </w:r>
      <w:r>
        <w:rPr>
          <w:sz w:val="24"/>
          <w:szCs w:val="24"/>
        </w:rPr>
        <w:t>Perturbation du système rénine-angiotensine induisant une H.T.A.</w:t>
      </w:r>
    </w:p>
    <w:p w:rsidR="00EB77DC" w:rsidRDefault="00EB77DC" w:rsidP="00EB77DC">
      <w:pPr>
        <w:spacing w:before="7" w:line="120" w:lineRule="exact"/>
        <w:rPr>
          <w:sz w:val="12"/>
          <w:szCs w:val="12"/>
        </w:rPr>
      </w:pPr>
    </w:p>
    <w:p w:rsidR="00EB77DC" w:rsidRDefault="00EB77DC" w:rsidP="00EB77DC">
      <w:pPr>
        <w:ind w:left="153"/>
        <w:rPr>
          <w:sz w:val="24"/>
          <w:szCs w:val="24"/>
        </w:rPr>
      </w:pPr>
      <w:r>
        <w:rPr>
          <w:b/>
          <w:color w:val="002D99"/>
          <w:sz w:val="24"/>
          <w:szCs w:val="24"/>
        </w:rPr>
        <w:t xml:space="preserve">5. Génotoxicité et cancérogénicité : </w:t>
      </w:r>
      <w:r>
        <w:rPr>
          <w:color w:val="000000"/>
          <w:sz w:val="24"/>
          <w:szCs w:val="24"/>
        </w:rPr>
        <w:t>indirect</w:t>
      </w:r>
    </w:p>
    <w:p w:rsidR="00EB77DC" w:rsidRDefault="00EB77DC" w:rsidP="00EB77DC">
      <w:pPr>
        <w:spacing w:line="260" w:lineRule="exact"/>
        <w:ind w:left="153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Les systèmes de réparation de l’ADN ;</w:t>
      </w:r>
    </w:p>
    <w:p w:rsidR="00EB77DC" w:rsidRDefault="00EB77DC" w:rsidP="00EB77DC">
      <w:pPr>
        <w:spacing w:before="2"/>
        <w:ind w:left="153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Le maintien de la structure de l’ADN ;</w:t>
      </w:r>
    </w:p>
    <w:p w:rsidR="00EB77DC" w:rsidRDefault="00EB77DC" w:rsidP="00EB77DC">
      <w:pPr>
        <w:spacing w:line="260" w:lineRule="exact"/>
        <w:ind w:left="153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L’expression de certaines kinases régulant le contrôle du cycle cellulaire</w:t>
      </w:r>
    </w:p>
    <w:p w:rsidR="00EB77DC" w:rsidRDefault="00EB77DC" w:rsidP="00EB77DC">
      <w:pPr>
        <w:spacing w:before="2" w:line="120" w:lineRule="exact"/>
        <w:rPr>
          <w:sz w:val="12"/>
          <w:szCs w:val="12"/>
        </w:rPr>
      </w:pPr>
    </w:p>
    <w:p w:rsidR="00EB77DC" w:rsidRDefault="00D2545E" w:rsidP="00EB77DC">
      <w:pPr>
        <w:ind w:left="153"/>
        <w:rPr>
          <w:sz w:val="24"/>
          <w:szCs w:val="24"/>
        </w:rPr>
      </w:pPr>
      <w:r w:rsidRPr="00D2545E">
        <w:pict>
          <v:group id="_x0000_s1104" style="position:absolute;left:0;text-align:left;margin-left:54.9pt;margin-top:23.85pt;width:485.4pt;height:1.55pt;z-index:-251648000;mso-position-horizontal-relative:page" coordorigin="1098,477" coordsize="9708,31">
            <v:group id="_x0000_s1105" style="position:absolute;left:1104;top:483;width:9696;height:0" coordorigin="1104,483" coordsize="9696,0">
              <v:shape id="_x0000_s1106" style="position:absolute;left:1104;top:483;width:9696;height:0" coordorigin="1104,483" coordsize="9696,0" path="m1104,483r9696,e" filled="f" strokecolor="#3365fe" strokeweight=".58pt">
                <v:path arrowok="t"/>
              </v:shape>
              <v:group id="_x0000_s1107" style="position:absolute;left:1104;top:502;width:9696;height:0" coordorigin="1104,502" coordsize="9696,0">
                <v:shape id="_x0000_s1108" style="position:absolute;left:1104;top:502;width:9696;height:0" coordorigin="1104,502" coordsize="9696,0" path="m1104,502r9696,e" filled="f" strokecolor="#3365fe" strokeweight=".58pt">
                  <v:path arrowok="t"/>
                </v:shape>
              </v:group>
            </v:group>
            <w10:wrap anchorx="page"/>
          </v:group>
        </w:pict>
      </w:r>
      <w:r w:rsidR="00EB77DC">
        <w:rPr>
          <w:b/>
          <w:color w:val="002D99"/>
          <w:sz w:val="24"/>
          <w:szCs w:val="24"/>
        </w:rPr>
        <w:t xml:space="preserve">6. Effet sur la reproduction : </w:t>
      </w:r>
      <w:r w:rsidR="00EB77DC">
        <w:rPr>
          <w:color w:val="000000"/>
          <w:sz w:val="24"/>
          <w:szCs w:val="24"/>
        </w:rPr>
        <w:t>Oligospermie</w:t>
      </w:r>
      <w:r w:rsidR="00EB77DC">
        <w:rPr>
          <w:color w:val="000000"/>
          <w:sz w:val="21"/>
          <w:szCs w:val="21"/>
        </w:rPr>
        <w:t>,</w:t>
      </w:r>
      <w:r w:rsidR="00EB77DC">
        <w:rPr>
          <w:color w:val="000000"/>
          <w:spacing w:val="5"/>
          <w:sz w:val="21"/>
          <w:szCs w:val="21"/>
        </w:rPr>
        <w:t xml:space="preserve"> </w:t>
      </w:r>
      <w:r w:rsidR="00EB77DC">
        <w:rPr>
          <w:color w:val="000000"/>
          <w:sz w:val="24"/>
          <w:szCs w:val="24"/>
        </w:rPr>
        <w:t>Tératospermie</w:t>
      </w:r>
      <w:r w:rsidR="00EB77DC">
        <w:rPr>
          <w:color w:val="000000"/>
          <w:sz w:val="21"/>
          <w:szCs w:val="21"/>
        </w:rPr>
        <w:t>,</w:t>
      </w:r>
      <w:r w:rsidR="00EB77DC">
        <w:rPr>
          <w:color w:val="000000"/>
          <w:spacing w:val="5"/>
          <w:sz w:val="21"/>
          <w:szCs w:val="21"/>
        </w:rPr>
        <w:t xml:space="preserve"> </w:t>
      </w:r>
      <w:r w:rsidR="00EB77DC">
        <w:rPr>
          <w:color w:val="000000"/>
          <w:sz w:val="24"/>
          <w:szCs w:val="24"/>
        </w:rPr>
        <w:t>Avortement</w:t>
      </w:r>
      <w:r w:rsidR="00EB77DC">
        <w:rPr>
          <w:color w:val="000000"/>
          <w:spacing w:val="-5"/>
          <w:sz w:val="24"/>
          <w:szCs w:val="24"/>
        </w:rPr>
        <w:t xml:space="preserve"> </w:t>
      </w:r>
      <w:r w:rsidR="00EB77DC">
        <w:rPr>
          <w:color w:val="000000"/>
          <w:spacing w:val="2"/>
          <w:sz w:val="21"/>
          <w:szCs w:val="21"/>
        </w:rPr>
        <w:t>e</w:t>
      </w:r>
      <w:r w:rsidR="00EB77DC">
        <w:rPr>
          <w:color w:val="000000"/>
          <w:sz w:val="21"/>
          <w:szCs w:val="21"/>
        </w:rPr>
        <w:t>t</w:t>
      </w:r>
      <w:r w:rsidR="00EB77DC">
        <w:rPr>
          <w:color w:val="000000"/>
          <w:spacing w:val="9"/>
          <w:sz w:val="21"/>
          <w:szCs w:val="21"/>
        </w:rPr>
        <w:t xml:space="preserve"> </w:t>
      </w:r>
      <w:r w:rsidR="00EB77DC">
        <w:rPr>
          <w:color w:val="000000"/>
          <w:sz w:val="24"/>
          <w:szCs w:val="24"/>
        </w:rPr>
        <w:t>Malformation</w:t>
      </w:r>
    </w:p>
    <w:p w:rsidR="00EB77DC" w:rsidRDefault="00EB77DC" w:rsidP="00EB77DC">
      <w:pPr>
        <w:spacing w:before="7" w:line="240" w:lineRule="exact"/>
        <w:rPr>
          <w:sz w:val="24"/>
          <w:szCs w:val="24"/>
        </w:rPr>
      </w:pPr>
    </w:p>
    <w:p w:rsidR="00EB77DC" w:rsidRDefault="00EB77DC" w:rsidP="00EB77DC">
      <w:pPr>
        <w:ind w:left="153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VI. Symptomatologie :</w:t>
      </w:r>
    </w:p>
    <w:p w:rsidR="00EB77DC" w:rsidRDefault="00EB77DC" w:rsidP="00EB77DC">
      <w:pPr>
        <w:spacing w:before="1" w:line="160" w:lineRule="exact"/>
        <w:rPr>
          <w:sz w:val="16"/>
          <w:szCs w:val="16"/>
        </w:rPr>
      </w:pPr>
    </w:p>
    <w:p w:rsidR="00EB77DC" w:rsidRDefault="00EB77DC" w:rsidP="00EB77DC">
      <w:pPr>
        <w:ind w:left="153"/>
        <w:rPr>
          <w:sz w:val="24"/>
          <w:szCs w:val="24"/>
        </w:rPr>
      </w:pPr>
      <w:r>
        <w:rPr>
          <w:b/>
          <w:color w:val="002D99"/>
          <w:sz w:val="24"/>
          <w:szCs w:val="24"/>
        </w:rPr>
        <w:t>1. Intoxications aigues : rares</w:t>
      </w:r>
    </w:p>
    <w:p w:rsidR="00EB77DC" w:rsidRDefault="00EB77DC" w:rsidP="00EB77DC">
      <w:pPr>
        <w:spacing w:before="1" w:line="160" w:lineRule="exact"/>
        <w:rPr>
          <w:sz w:val="16"/>
          <w:szCs w:val="16"/>
        </w:rPr>
      </w:pPr>
    </w:p>
    <w:p w:rsidR="00EB77DC" w:rsidRDefault="00EB77DC" w:rsidP="00EB77DC">
      <w:pPr>
        <w:ind w:left="153"/>
        <w:rPr>
          <w:sz w:val="24"/>
          <w:szCs w:val="24"/>
        </w:rPr>
      </w:pPr>
      <w:r>
        <w:rPr>
          <w:b/>
          <w:color w:val="3E691D"/>
          <w:sz w:val="24"/>
          <w:szCs w:val="24"/>
        </w:rPr>
        <w:t>Symptomes non spécifiques</w:t>
      </w:r>
    </w:p>
    <w:p w:rsidR="00EB77DC" w:rsidRDefault="00EB77DC" w:rsidP="00EB77DC">
      <w:pPr>
        <w:spacing w:before="45" w:line="275" w:lineRule="auto"/>
        <w:ind w:left="153" w:right="1154"/>
        <w:rPr>
          <w:sz w:val="24"/>
          <w:szCs w:val="24"/>
        </w:rPr>
      </w:pPr>
      <w:r>
        <w:rPr>
          <w:color w:val="810000"/>
          <w:sz w:val="24"/>
          <w:szCs w:val="24"/>
        </w:rPr>
        <w:t xml:space="preserve">D’abord : </w:t>
      </w:r>
      <w:r>
        <w:rPr>
          <w:b/>
          <w:color w:val="000000"/>
          <w:sz w:val="24"/>
          <w:szCs w:val="24"/>
        </w:rPr>
        <w:t xml:space="preserve">violent syndrome gastro-intestinal : </w:t>
      </w:r>
      <w:r>
        <w:rPr>
          <w:color w:val="000000"/>
          <w:sz w:val="24"/>
          <w:szCs w:val="24"/>
        </w:rPr>
        <w:t>douleurs abdominales intenses, coliques, vomissements, diarrhées, soif.</w:t>
      </w:r>
    </w:p>
    <w:p w:rsidR="00EB77DC" w:rsidRDefault="00EB77DC" w:rsidP="00EB77DC">
      <w:pPr>
        <w:spacing w:line="260" w:lineRule="exact"/>
        <w:ind w:left="153"/>
        <w:rPr>
          <w:sz w:val="24"/>
          <w:szCs w:val="24"/>
        </w:rPr>
      </w:pPr>
      <w:r>
        <w:rPr>
          <w:color w:val="810000"/>
          <w:sz w:val="24"/>
          <w:szCs w:val="24"/>
        </w:rPr>
        <w:t xml:space="preserve">Puis : </w:t>
      </w:r>
      <w:r>
        <w:rPr>
          <w:b/>
          <w:color w:val="000000"/>
          <w:sz w:val="24"/>
          <w:szCs w:val="24"/>
        </w:rPr>
        <w:t xml:space="preserve">Troubles nerveux : </w:t>
      </w:r>
      <w:r>
        <w:rPr>
          <w:color w:val="000000"/>
          <w:sz w:val="24"/>
          <w:szCs w:val="24"/>
        </w:rPr>
        <w:t xml:space="preserve">agitation, faiblesse musculaire </w:t>
      </w:r>
      <w:r>
        <w:rPr>
          <w:rFonts w:ascii="BatangChe" w:eastAsia="BatangChe" w:hAnsi="BatangChe" w:cs="BatangChe"/>
          <w:color w:val="000000"/>
          <w:w w:val="60"/>
          <w:sz w:val="24"/>
          <w:szCs w:val="24"/>
        </w:rPr>
        <w:t>⇒</w:t>
      </w:r>
      <w:r>
        <w:rPr>
          <w:rFonts w:ascii="BatangChe" w:eastAsia="BatangChe" w:hAnsi="BatangChe" w:cs="BatangChe"/>
          <w:color w:val="000000"/>
          <w:spacing w:val="-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paresthésies, convulsions.</w:t>
      </w:r>
    </w:p>
    <w:p w:rsidR="00EB77DC" w:rsidRDefault="00EB77DC" w:rsidP="00EB77DC">
      <w:pPr>
        <w:spacing w:before="45"/>
        <w:ind w:left="715" w:right="669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Troubles rénaux : </w:t>
      </w:r>
      <w:r>
        <w:rPr>
          <w:sz w:val="24"/>
          <w:szCs w:val="24"/>
        </w:rPr>
        <w:t>NTA.</w:t>
      </w:r>
    </w:p>
    <w:p w:rsidR="00EB77DC" w:rsidRDefault="00EB77DC" w:rsidP="00EB77DC">
      <w:pPr>
        <w:spacing w:line="300" w:lineRule="exact"/>
        <w:ind w:left="753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 xml:space="preserve">Troubles cardiovasculaires : </w:t>
      </w:r>
      <w:r>
        <w:rPr>
          <w:position w:val="-1"/>
          <w:sz w:val="24"/>
          <w:szCs w:val="24"/>
        </w:rPr>
        <w:t xml:space="preserve">collapsus </w:t>
      </w:r>
      <w:r>
        <w:rPr>
          <w:rFonts w:ascii="BatangChe" w:eastAsia="BatangChe" w:hAnsi="BatangChe" w:cs="BatangChe"/>
          <w:w w:val="60"/>
          <w:position w:val="-1"/>
          <w:sz w:val="24"/>
          <w:szCs w:val="24"/>
        </w:rPr>
        <w:t>⇒</w:t>
      </w:r>
      <w:r>
        <w:rPr>
          <w:rFonts w:ascii="BatangChe" w:eastAsia="BatangChe" w:hAnsi="BatangChe" w:cs="BatangChe"/>
          <w:spacing w:val="-6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MORT.</w:t>
      </w:r>
    </w:p>
    <w:p w:rsidR="00EB77DC" w:rsidRDefault="00EB77DC" w:rsidP="00EB77DC">
      <w:pPr>
        <w:spacing w:before="6" w:line="160" w:lineRule="exact"/>
        <w:rPr>
          <w:sz w:val="16"/>
          <w:szCs w:val="16"/>
        </w:rPr>
      </w:pPr>
    </w:p>
    <w:p w:rsidR="00EB77DC" w:rsidRDefault="00EB77DC" w:rsidP="00EB77DC">
      <w:pPr>
        <w:ind w:left="153"/>
        <w:rPr>
          <w:sz w:val="24"/>
          <w:szCs w:val="24"/>
        </w:rPr>
      </w:pPr>
      <w:r>
        <w:rPr>
          <w:b/>
          <w:color w:val="002D99"/>
          <w:sz w:val="24"/>
          <w:szCs w:val="24"/>
        </w:rPr>
        <w:t>2. Intoxications chronique : 2 phases</w:t>
      </w:r>
    </w:p>
    <w:p w:rsidR="00EB77DC" w:rsidRDefault="00EB77DC" w:rsidP="00EB77DC">
      <w:pPr>
        <w:spacing w:before="41"/>
        <w:ind w:left="153"/>
        <w:rPr>
          <w:sz w:val="24"/>
          <w:szCs w:val="24"/>
        </w:rPr>
      </w:pPr>
      <w:r>
        <w:rPr>
          <w:color w:val="810000"/>
          <w:sz w:val="24"/>
          <w:szCs w:val="24"/>
        </w:rPr>
        <w:t>Phase d’imprégnation : PRE-SATURNISME</w:t>
      </w:r>
    </w:p>
    <w:p w:rsidR="00EB77DC" w:rsidRDefault="00EB77DC" w:rsidP="00EB77DC">
      <w:pPr>
        <w:spacing w:before="45"/>
        <w:ind w:left="153"/>
        <w:rPr>
          <w:sz w:val="24"/>
          <w:szCs w:val="24"/>
        </w:rPr>
      </w:pPr>
      <w:r>
        <w:rPr>
          <w:b/>
          <w:color w:val="3E691D"/>
          <w:sz w:val="24"/>
          <w:szCs w:val="24"/>
        </w:rPr>
        <w:t xml:space="preserve">Silencieuse : </w:t>
      </w:r>
      <w:r>
        <w:rPr>
          <w:color w:val="000000"/>
          <w:sz w:val="24"/>
          <w:szCs w:val="24"/>
        </w:rPr>
        <w:t>peu de signes cliniques, mais signes biologiques.</w:t>
      </w:r>
    </w:p>
    <w:p w:rsidR="00EB77DC" w:rsidRDefault="00EB77DC" w:rsidP="00EB77DC">
      <w:pPr>
        <w:spacing w:before="7" w:line="320" w:lineRule="exact"/>
        <w:ind w:left="153" w:right="303"/>
        <w:rPr>
          <w:sz w:val="24"/>
          <w:szCs w:val="24"/>
        </w:rPr>
      </w:pPr>
      <w:r>
        <w:rPr>
          <w:b/>
          <w:color w:val="3E691D"/>
          <w:sz w:val="24"/>
          <w:szCs w:val="24"/>
        </w:rPr>
        <w:t xml:space="preserve">Signes cliniques : </w:t>
      </w:r>
      <w:r>
        <w:rPr>
          <w:color w:val="000000"/>
          <w:sz w:val="24"/>
          <w:szCs w:val="24"/>
        </w:rPr>
        <w:t xml:space="preserve">liseré saturnin (liseré de Burton) : précipité sulfure Pb / collet des dents </w:t>
      </w:r>
      <w:r>
        <w:rPr>
          <w:rFonts w:ascii="BatangChe" w:eastAsia="BatangChe" w:hAnsi="BatangChe" w:cs="BatangChe"/>
          <w:color w:val="000000"/>
          <w:w w:val="60"/>
          <w:sz w:val="24"/>
          <w:szCs w:val="24"/>
        </w:rPr>
        <w:t>⇒</w:t>
      </w:r>
      <w:r>
        <w:rPr>
          <w:rFonts w:ascii="BatangChe" w:eastAsia="BatangChe" w:hAnsi="BatangChe" w:cs="BatangChe"/>
          <w:color w:val="000000"/>
          <w:spacing w:val="-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liseré gingival bleuâtre.</w:t>
      </w:r>
    </w:p>
    <w:p w:rsidR="00EB77DC" w:rsidRDefault="00EB77DC" w:rsidP="00EB77DC">
      <w:pPr>
        <w:spacing w:before="28"/>
        <w:ind w:left="153"/>
        <w:rPr>
          <w:sz w:val="24"/>
          <w:szCs w:val="24"/>
        </w:rPr>
      </w:pPr>
      <w:r>
        <w:rPr>
          <w:b/>
          <w:color w:val="3E691D"/>
          <w:sz w:val="24"/>
          <w:szCs w:val="24"/>
        </w:rPr>
        <w:t xml:space="preserve">Signes biologiques (troubles hématologiques) : </w:t>
      </w:r>
      <w:r>
        <w:rPr>
          <w:color w:val="000000"/>
          <w:sz w:val="24"/>
          <w:szCs w:val="24"/>
        </w:rPr>
        <w:t>anémie modérée, ↓Hb, hématies ponctuées</w:t>
      </w:r>
    </w:p>
    <w:p w:rsidR="00EB77DC" w:rsidRDefault="00EB77DC" w:rsidP="00EB77DC">
      <w:pPr>
        <w:spacing w:before="41" w:line="275" w:lineRule="auto"/>
        <w:ind w:left="153" w:right="6733"/>
        <w:rPr>
          <w:sz w:val="24"/>
          <w:szCs w:val="24"/>
        </w:rPr>
      </w:pPr>
      <w:r>
        <w:rPr>
          <w:sz w:val="24"/>
          <w:szCs w:val="24"/>
        </w:rPr>
        <w:t xml:space="preserve">(granulations basophiles), PPZ. </w:t>
      </w:r>
      <w:r>
        <w:rPr>
          <w:color w:val="810000"/>
          <w:sz w:val="24"/>
          <w:szCs w:val="24"/>
        </w:rPr>
        <w:t>Phase d’état : SATURNISME</w:t>
      </w:r>
    </w:p>
    <w:p w:rsidR="00EB77DC" w:rsidRDefault="00EB77DC" w:rsidP="00EB77DC">
      <w:pPr>
        <w:spacing w:before="1"/>
        <w:ind w:left="153"/>
        <w:rPr>
          <w:sz w:val="24"/>
          <w:szCs w:val="24"/>
        </w:rPr>
      </w:pPr>
      <w:r>
        <w:rPr>
          <w:b/>
          <w:color w:val="3E691D"/>
          <w:sz w:val="24"/>
          <w:szCs w:val="24"/>
        </w:rPr>
        <w:t xml:space="preserve">Troubles de l’état général : </w:t>
      </w:r>
      <w:r>
        <w:rPr>
          <w:color w:val="000000"/>
          <w:sz w:val="24"/>
          <w:szCs w:val="24"/>
        </w:rPr>
        <w:t>malaises, anorexie, amaigrissement, fatigue.</w:t>
      </w:r>
    </w:p>
    <w:p w:rsidR="00EB77DC" w:rsidRDefault="00EB77DC" w:rsidP="00EB77DC">
      <w:pPr>
        <w:spacing w:before="41"/>
        <w:ind w:left="153"/>
        <w:rPr>
          <w:sz w:val="24"/>
          <w:szCs w:val="24"/>
        </w:rPr>
      </w:pPr>
      <w:r>
        <w:rPr>
          <w:b/>
          <w:color w:val="3E691D"/>
          <w:sz w:val="24"/>
          <w:szCs w:val="24"/>
        </w:rPr>
        <w:t xml:space="preserve">Troubles gastro-intestinaux : </w:t>
      </w:r>
      <w:r>
        <w:rPr>
          <w:color w:val="000000"/>
          <w:sz w:val="24"/>
          <w:szCs w:val="24"/>
        </w:rPr>
        <w:t>douleurs abdominales intenses, colique, vomissements.</w:t>
      </w:r>
    </w:p>
    <w:p w:rsidR="00EB77DC" w:rsidRDefault="00EB77DC" w:rsidP="00EB77DC">
      <w:pPr>
        <w:spacing w:before="45"/>
        <w:ind w:left="153"/>
        <w:rPr>
          <w:sz w:val="24"/>
          <w:szCs w:val="24"/>
        </w:rPr>
      </w:pPr>
      <w:r>
        <w:rPr>
          <w:b/>
          <w:color w:val="3E691D"/>
          <w:sz w:val="24"/>
          <w:szCs w:val="24"/>
        </w:rPr>
        <w:t xml:space="preserve">Troubles nerveux : </w:t>
      </w:r>
      <w:r>
        <w:rPr>
          <w:color w:val="000000"/>
          <w:sz w:val="24"/>
          <w:szCs w:val="24"/>
        </w:rPr>
        <w:t>2 types</w:t>
      </w:r>
    </w:p>
    <w:p w:rsidR="00EB77DC" w:rsidRDefault="00EB77DC" w:rsidP="00EB77DC">
      <w:pPr>
        <w:spacing w:before="41"/>
        <w:ind w:left="153"/>
        <w:rPr>
          <w:sz w:val="24"/>
          <w:szCs w:val="24"/>
        </w:rPr>
      </w:pPr>
      <w:r>
        <w:rPr>
          <w:b/>
          <w:sz w:val="24"/>
          <w:szCs w:val="24"/>
        </w:rPr>
        <w:t>Encéphalopathie (surtout enfant) :</w:t>
      </w:r>
    </w:p>
    <w:p w:rsidR="00EB77DC" w:rsidRDefault="00EB77DC" w:rsidP="00EB77DC">
      <w:pPr>
        <w:spacing w:before="41"/>
        <w:ind w:left="153"/>
        <w:rPr>
          <w:sz w:val="24"/>
          <w:szCs w:val="24"/>
        </w:rPr>
      </w:pPr>
      <w:r>
        <w:rPr>
          <w:sz w:val="24"/>
          <w:szCs w:val="24"/>
        </w:rPr>
        <w:t>Lésions : œdème cérébral, dégénérescences axonales.</w:t>
      </w:r>
    </w:p>
    <w:p w:rsidR="00EB77DC" w:rsidRDefault="00EB77DC" w:rsidP="00EB77DC">
      <w:pPr>
        <w:spacing w:before="41"/>
        <w:ind w:left="153"/>
        <w:rPr>
          <w:sz w:val="24"/>
          <w:szCs w:val="24"/>
        </w:rPr>
      </w:pPr>
      <w:r>
        <w:rPr>
          <w:sz w:val="24"/>
          <w:szCs w:val="24"/>
        </w:rPr>
        <w:t>Signes : abêtissement, irritabilité, céphalées, delirium tremens, convulsions, paralysies, coma</w:t>
      </w:r>
    </w:p>
    <w:p w:rsidR="00EB77DC" w:rsidRDefault="00EB77DC" w:rsidP="00EB77DC">
      <w:pPr>
        <w:spacing w:before="41"/>
        <w:ind w:left="153"/>
        <w:rPr>
          <w:sz w:val="24"/>
          <w:szCs w:val="24"/>
        </w:rPr>
      </w:pPr>
      <w:r>
        <w:rPr>
          <w:b/>
          <w:sz w:val="24"/>
          <w:szCs w:val="24"/>
        </w:rPr>
        <w:t>Neuropathies périphériques :</w:t>
      </w:r>
    </w:p>
    <w:p w:rsidR="00EB77DC" w:rsidRDefault="00EB77DC" w:rsidP="00EB77DC">
      <w:pPr>
        <w:spacing w:before="41"/>
        <w:ind w:left="153"/>
        <w:rPr>
          <w:sz w:val="24"/>
          <w:szCs w:val="24"/>
        </w:rPr>
      </w:pPr>
      <w:r>
        <w:rPr>
          <w:sz w:val="24"/>
          <w:szCs w:val="24"/>
        </w:rPr>
        <w:t>Lésions : démyélinisations, dégénérescences axonales.</w:t>
      </w:r>
    </w:p>
    <w:p w:rsidR="00EB77DC" w:rsidRDefault="00EB77DC" w:rsidP="00EB77DC">
      <w:pPr>
        <w:spacing w:before="41" w:line="275" w:lineRule="auto"/>
        <w:ind w:left="153" w:right="588"/>
        <w:rPr>
          <w:sz w:val="24"/>
          <w:szCs w:val="24"/>
        </w:rPr>
      </w:pPr>
      <w:r>
        <w:rPr>
          <w:sz w:val="24"/>
          <w:szCs w:val="24"/>
        </w:rPr>
        <w:t>Signes : hyperesthésies, paralysies (poignets, doigts) « mains en griffe » : faiblesse des muscles extenseurs de la main.</w:t>
      </w:r>
    </w:p>
    <w:p w:rsidR="00EB77DC" w:rsidRDefault="00EB77DC" w:rsidP="00EB77DC">
      <w:pPr>
        <w:spacing w:line="280" w:lineRule="exact"/>
        <w:ind w:left="153"/>
        <w:rPr>
          <w:sz w:val="24"/>
          <w:szCs w:val="24"/>
        </w:rPr>
      </w:pPr>
      <w:r>
        <w:rPr>
          <w:b/>
          <w:color w:val="3E691D"/>
          <w:sz w:val="24"/>
          <w:szCs w:val="24"/>
        </w:rPr>
        <w:t xml:space="preserve">Troubles rénaux : </w:t>
      </w:r>
      <w:r>
        <w:rPr>
          <w:color w:val="000000"/>
          <w:sz w:val="24"/>
          <w:szCs w:val="24"/>
        </w:rPr>
        <w:t xml:space="preserve">NTIC </w:t>
      </w:r>
      <w:r>
        <w:rPr>
          <w:rFonts w:ascii="BatangChe" w:eastAsia="BatangChe" w:hAnsi="BatangChe" w:cs="BatangChe"/>
          <w:color w:val="000000"/>
          <w:w w:val="60"/>
          <w:sz w:val="24"/>
          <w:szCs w:val="24"/>
        </w:rPr>
        <w:t>⇒</w:t>
      </w:r>
      <w:r>
        <w:rPr>
          <w:rFonts w:ascii="BatangChe" w:eastAsia="BatangChe" w:hAnsi="BatangChe" w:cs="BatangChe"/>
          <w:color w:val="000000"/>
          <w:spacing w:val="-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insuffisance rénale, hyperuricémie </w:t>
      </w:r>
      <w:r>
        <w:rPr>
          <w:rFonts w:ascii="BatangChe" w:eastAsia="BatangChe" w:hAnsi="BatangChe" w:cs="BatangChe"/>
          <w:color w:val="000000"/>
          <w:w w:val="60"/>
          <w:sz w:val="24"/>
          <w:szCs w:val="24"/>
        </w:rPr>
        <w:t>⇒</w:t>
      </w:r>
      <w:r>
        <w:rPr>
          <w:rFonts w:ascii="BatangChe" w:eastAsia="BatangChe" w:hAnsi="BatangChe" w:cs="BatangChe"/>
          <w:color w:val="000000"/>
          <w:spacing w:val="-6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crises de goutte</w:t>
      </w:r>
    </w:p>
    <w:p w:rsidR="00EB77DC" w:rsidRDefault="00D2545E" w:rsidP="00EB77DC">
      <w:pPr>
        <w:spacing w:before="41"/>
        <w:ind w:left="153"/>
        <w:rPr>
          <w:sz w:val="24"/>
          <w:szCs w:val="24"/>
        </w:rPr>
      </w:pPr>
      <w:r w:rsidRPr="00D2545E">
        <w:pict>
          <v:group id="_x0000_s1109" style="position:absolute;left:0;text-align:left;margin-left:54.9pt;margin-top:28.3pt;width:485.4pt;height:1.55pt;z-index:-251646976;mso-position-horizontal-relative:page" coordorigin="1098,566" coordsize="9708,31">
            <v:group id="_x0000_s1110" style="position:absolute;left:1104;top:572;width:9696;height:0" coordorigin="1104,572" coordsize="9696,0">
              <v:shape id="_x0000_s1111" style="position:absolute;left:1104;top:572;width:9696;height:0" coordorigin="1104,572" coordsize="9696,0" path="m1104,572r9696,e" filled="f" strokecolor="#3365fe" strokeweight=".58pt">
                <v:path arrowok="t"/>
              </v:shape>
              <v:group id="_x0000_s1112" style="position:absolute;left:1104;top:591;width:9696;height:0" coordorigin="1104,591" coordsize="9696,0">
                <v:shape id="_x0000_s1113" style="position:absolute;left:1104;top:591;width:9696;height:0" coordorigin="1104,591" coordsize="9696,0" path="m1104,591r9696,e" filled="f" strokecolor="#3365fe" strokeweight=".58pt">
                  <v:path arrowok="t"/>
                </v:shape>
              </v:group>
            </v:group>
            <w10:wrap anchorx="page"/>
          </v:group>
        </w:pict>
      </w:r>
      <w:r w:rsidR="00EB77DC">
        <w:rPr>
          <w:b/>
          <w:color w:val="3E691D"/>
          <w:sz w:val="24"/>
          <w:szCs w:val="24"/>
        </w:rPr>
        <w:t xml:space="preserve">Autres effets : </w:t>
      </w:r>
      <w:r w:rsidR="00EB77DC">
        <w:rPr>
          <w:color w:val="000000"/>
          <w:sz w:val="24"/>
          <w:szCs w:val="24"/>
        </w:rPr>
        <w:t>hypertension artérielle, ↓fécondité masculine, fœtotoxicité.</w:t>
      </w:r>
    </w:p>
    <w:p w:rsidR="00EB77DC" w:rsidRDefault="00EB77DC" w:rsidP="00EB77DC">
      <w:pPr>
        <w:spacing w:before="15" w:line="280" w:lineRule="exact"/>
        <w:rPr>
          <w:sz w:val="28"/>
          <w:szCs w:val="28"/>
        </w:rPr>
      </w:pPr>
    </w:p>
    <w:p w:rsidR="00EB77DC" w:rsidRDefault="00EB77DC" w:rsidP="00EB77DC">
      <w:pPr>
        <w:ind w:left="153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VII. Traitement :</w:t>
      </w:r>
    </w:p>
    <w:p w:rsidR="00EB77DC" w:rsidRDefault="00EB77DC" w:rsidP="00EB77DC">
      <w:pPr>
        <w:spacing w:before="1" w:line="160" w:lineRule="exact"/>
        <w:rPr>
          <w:sz w:val="16"/>
          <w:szCs w:val="16"/>
        </w:rPr>
      </w:pPr>
    </w:p>
    <w:p w:rsidR="00EB77DC" w:rsidRDefault="00EB77DC" w:rsidP="00EB77DC">
      <w:pPr>
        <w:ind w:left="153"/>
        <w:rPr>
          <w:sz w:val="24"/>
          <w:szCs w:val="24"/>
        </w:rPr>
      </w:pPr>
      <w:r>
        <w:rPr>
          <w:b/>
          <w:color w:val="002D99"/>
          <w:sz w:val="24"/>
          <w:szCs w:val="24"/>
        </w:rPr>
        <w:t>1. Intoxications aiguës :</w:t>
      </w:r>
    </w:p>
    <w:p w:rsidR="00EB77DC" w:rsidRDefault="00EB77DC" w:rsidP="00EB77DC">
      <w:pPr>
        <w:spacing w:before="41"/>
        <w:ind w:left="153"/>
        <w:rPr>
          <w:sz w:val="24"/>
          <w:szCs w:val="24"/>
        </w:rPr>
      </w:pPr>
      <w:r>
        <w:rPr>
          <w:b/>
          <w:color w:val="3E691D"/>
          <w:sz w:val="24"/>
          <w:szCs w:val="24"/>
        </w:rPr>
        <w:t xml:space="preserve">Traitement symptomatique : </w:t>
      </w:r>
      <w:r>
        <w:rPr>
          <w:color w:val="000000"/>
          <w:sz w:val="24"/>
          <w:szCs w:val="24"/>
        </w:rPr>
        <w:t>antalgiques / douleurs abdominales.</w:t>
      </w:r>
    </w:p>
    <w:p w:rsidR="00EB77DC" w:rsidRDefault="00EB77DC" w:rsidP="00EB77DC">
      <w:pPr>
        <w:spacing w:before="41"/>
        <w:ind w:left="153"/>
        <w:rPr>
          <w:sz w:val="24"/>
          <w:szCs w:val="24"/>
        </w:rPr>
      </w:pPr>
      <w:r>
        <w:rPr>
          <w:b/>
          <w:color w:val="3E691D"/>
          <w:sz w:val="24"/>
          <w:szCs w:val="24"/>
        </w:rPr>
        <w:t xml:space="preserve">Traitement spécifique : </w:t>
      </w:r>
      <w:r>
        <w:rPr>
          <w:color w:val="000000"/>
          <w:sz w:val="24"/>
          <w:szCs w:val="24"/>
        </w:rPr>
        <w:t>chélateurs</w:t>
      </w:r>
    </w:p>
    <w:p w:rsidR="00EB77DC" w:rsidRDefault="00EB77DC" w:rsidP="00EB77DC">
      <w:pPr>
        <w:spacing w:before="1" w:line="160" w:lineRule="exact"/>
        <w:rPr>
          <w:sz w:val="16"/>
          <w:szCs w:val="16"/>
        </w:rPr>
      </w:pPr>
    </w:p>
    <w:p w:rsidR="00EB77DC" w:rsidRDefault="00EB77DC" w:rsidP="00EB77DC">
      <w:pPr>
        <w:ind w:left="153"/>
        <w:rPr>
          <w:sz w:val="24"/>
          <w:szCs w:val="24"/>
        </w:rPr>
        <w:sectPr w:rsidR="00EB77DC">
          <w:pgSz w:w="11900" w:h="16840"/>
          <w:pgMar w:top="820" w:right="980" w:bottom="280" w:left="980" w:header="601" w:footer="415" w:gutter="0"/>
          <w:cols w:space="720"/>
        </w:sectPr>
      </w:pPr>
      <w:r>
        <w:rPr>
          <w:b/>
          <w:color w:val="002D99"/>
          <w:sz w:val="24"/>
          <w:szCs w:val="24"/>
        </w:rPr>
        <w:t>2. Intoxications chroniques :</w:t>
      </w:r>
    </w:p>
    <w:p w:rsidR="00EB77DC" w:rsidRDefault="00EB77DC" w:rsidP="00EB77DC"/>
    <w:p w:rsidR="002E6FEF" w:rsidRDefault="002E6FEF" w:rsidP="002E6FEF">
      <w:pPr>
        <w:spacing w:before="29"/>
        <w:ind w:left="153"/>
        <w:rPr>
          <w:sz w:val="24"/>
          <w:szCs w:val="24"/>
        </w:rPr>
      </w:pPr>
      <w:r>
        <w:rPr>
          <w:b/>
          <w:color w:val="3E691D"/>
          <w:sz w:val="24"/>
          <w:szCs w:val="24"/>
        </w:rPr>
        <w:t xml:space="preserve">Traitement spécifique : </w:t>
      </w:r>
      <w:r>
        <w:rPr>
          <w:color w:val="000000"/>
          <w:sz w:val="24"/>
          <w:szCs w:val="24"/>
        </w:rPr>
        <w:t>chélateurs</w:t>
      </w:r>
    </w:p>
    <w:p w:rsidR="002E6FEF" w:rsidRDefault="002E6FEF" w:rsidP="002E6FEF">
      <w:pPr>
        <w:spacing w:before="41" w:line="275" w:lineRule="auto"/>
        <w:ind w:left="153" w:right="1121"/>
        <w:rPr>
          <w:sz w:val="24"/>
          <w:szCs w:val="24"/>
        </w:rPr>
      </w:pPr>
      <w:r>
        <w:rPr>
          <w:b/>
          <w:sz w:val="24"/>
          <w:szCs w:val="24"/>
        </w:rPr>
        <w:t xml:space="preserve">EDTA calcique : </w:t>
      </w:r>
      <w:r>
        <w:rPr>
          <w:sz w:val="24"/>
          <w:szCs w:val="24"/>
        </w:rPr>
        <w:t>2 x 1g /j IV pendant 5j, arrêt (3-4 sem) car délétion éléments essentiels, renouvellement : si plombémie rebond.</w:t>
      </w:r>
    </w:p>
    <w:p w:rsidR="002E6FEF" w:rsidRDefault="002E6FEF" w:rsidP="002E6FEF">
      <w:pPr>
        <w:spacing w:before="6"/>
        <w:ind w:left="153"/>
        <w:rPr>
          <w:sz w:val="24"/>
          <w:szCs w:val="24"/>
        </w:rPr>
      </w:pPr>
      <w:r>
        <w:rPr>
          <w:b/>
          <w:sz w:val="24"/>
          <w:szCs w:val="24"/>
        </w:rPr>
        <w:t xml:space="preserve">BAL (dimercaprol) : </w:t>
      </w:r>
      <w:r>
        <w:rPr>
          <w:sz w:val="24"/>
          <w:szCs w:val="24"/>
        </w:rPr>
        <w:t>IM</w:t>
      </w:r>
    </w:p>
    <w:p w:rsidR="002E6FEF" w:rsidRDefault="002E6FEF" w:rsidP="002E6FEF">
      <w:pPr>
        <w:spacing w:before="36"/>
        <w:ind w:left="153"/>
        <w:rPr>
          <w:sz w:val="24"/>
          <w:szCs w:val="24"/>
        </w:rPr>
      </w:pPr>
      <w:r w:rsidRPr="00CD7C66">
        <w:pict>
          <v:group id="_x0000_s1114" style="position:absolute;left:0;text-align:left;margin-left:54.9pt;margin-top:28.05pt;width:485.4pt;height:1.55pt;z-index:-251644928;mso-position-horizontal-relative:page" coordorigin="1098,561" coordsize="9708,31">
            <v:group id="_x0000_s1115" style="position:absolute;left:1104;top:567;width:9696;height:0" coordorigin="1104,567" coordsize="9696,0">
              <v:shape id="_x0000_s1116" style="position:absolute;left:1104;top:567;width:9696;height:0" coordorigin="1104,567" coordsize="9696,0" path="m1104,567r9696,e" filled="f" strokecolor="#3365fe" strokeweight=".20464mm">
                <v:path arrowok="t"/>
              </v:shape>
              <v:group id="_x0000_s1117" style="position:absolute;left:1104;top:586;width:9696;height:0" coordorigin="1104,586" coordsize="9696,0">
                <v:shape id="_x0000_s1118" style="position:absolute;left:1104;top:586;width:9696;height:0" coordorigin="1104,586" coordsize="9696,0" path="m1104,586r9696,e" filled="f" strokecolor="#3365fe" strokeweight=".58pt">
                  <v:path arrowok="t"/>
                </v:shape>
              </v:group>
            </v:group>
            <w10:wrap anchorx="page"/>
          </v:group>
        </w:pict>
      </w:r>
      <w:r>
        <w:rPr>
          <w:b/>
          <w:sz w:val="24"/>
          <w:szCs w:val="24"/>
        </w:rPr>
        <w:t xml:space="preserve">DMSA : </w:t>
      </w:r>
      <w:r>
        <w:rPr>
          <w:sz w:val="24"/>
          <w:szCs w:val="24"/>
        </w:rPr>
        <w:t>per os</w:t>
      </w:r>
    </w:p>
    <w:p w:rsidR="002E6FEF" w:rsidRDefault="002E6FEF" w:rsidP="002E6FEF">
      <w:pPr>
        <w:spacing w:before="15" w:line="280" w:lineRule="exact"/>
        <w:rPr>
          <w:sz w:val="28"/>
          <w:szCs w:val="28"/>
        </w:rPr>
      </w:pPr>
    </w:p>
    <w:p w:rsidR="002E6FEF" w:rsidRDefault="002E6FEF" w:rsidP="002E6FEF">
      <w:pPr>
        <w:ind w:left="153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VIII. Toxicologie Analytique :</w:t>
      </w:r>
    </w:p>
    <w:p w:rsidR="002E6FEF" w:rsidRDefault="002E6FEF" w:rsidP="002E6FEF">
      <w:pPr>
        <w:spacing w:before="1" w:line="160" w:lineRule="exact"/>
        <w:rPr>
          <w:sz w:val="16"/>
          <w:szCs w:val="16"/>
        </w:rPr>
      </w:pPr>
    </w:p>
    <w:p w:rsidR="002E6FEF" w:rsidRDefault="002E6FEF" w:rsidP="002E6FEF">
      <w:pPr>
        <w:spacing w:line="275" w:lineRule="auto"/>
        <w:ind w:left="153" w:right="6246"/>
        <w:rPr>
          <w:sz w:val="24"/>
          <w:szCs w:val="24"/>
        </w:rPr>
      </w:pPr>
      <w:r>
        <w:rPr>
          <w:b/>
          <w:color w:val="002D99"/>
          <w:sz w:val="24"/>
          <w:szCs w:val="24"/>
        </w:rPr>
        <w:t xml:space="preserve">1. Recherche et dosage du plomb : </w:t>
      </w:r>
      <w:r>
        <w:rPr>
          <w:b/>
          <w:color w:val="3E691D"/>
          <w:sz w:val="24"/>
          <w:szCs w:val="24"/>
        </w:rPr>
        <w:t xml:space="preserve">Matrices : </w:t>
      </w:r>
      <w:r>
        <w:rPr>
          <w:color w:val="000000"/>
          <w:sz w:val="24"/>
          <w:szCs w:val="24"/>
        </w:rPr>
        <w:t>viscères, sang, urines</w:t>
      </w:r>
    </w:p>
    <w:p w:rsidR="002E6FEF" w:rsidRDefault="002E6FEF" w:rsidP="002E6FEF">
      <w:pPr>
        <w:spacing w:before="1"/>
        <w:ind w:left="1233"/>
        <w:rPr>
          <w:sz w:val="24"/>
          <w:szCs w:val="24"/>
        </w:rPr>
      </w:pPr>
      <w:r>
        <w:rPr>
          <w:sz w:val="24"/>
          <w:szCs w:val="24"/>
        </w:rPr>
        <w:t>atmosphère (particules / filtre acétate cellulose)</w:t>
      </w:r>
    </w:p>
    <w:p w:rsidR="002E6FEF" w:rsidRDefault="002E6FEF" w:rsidP="002E6FEF">
      <w:pPr>
        <w:spacing w:before="1" w:line="160" w:lineRule="exact"/>
        <w:rPr>
          <w:sz w:val="16"/>
          <w:szCs w:val="16"/>
        </w:rPr>
      </w:pPr>
    </w:p>
    <w:p w:rsidR="002E6FEF" w:rsidRDefault="002E6FEF" w:rsidP="002E6FEF">
      <w:pPr>
        <w:ind w:left="153"/>
        <w:rPr>
          <w:sz w:val="24"/>
          <w:szCs w:val="24"/>
        </w:rPr>
      </w:pPr>
      <w:r>
        <w:rPr>
          <w:b/>
          <w:color w:val="3E691D"/>
          <w:sz w:val="24"/>
          <w:szCs w:val="24"/>
        </w:rPr>
        <w:t xml:space="preserve">Destruction matière organique : </w:t>
      </w:r>
      <w:r>
        <w:rPr>
          <w:color w:val="000000"/>
          <w:sz w:val="24"/>
          <w:szCs w:val="24"/>
        </w:rPr>
        <w:t>minéralisation sulfonitrique</w:t>
      </w:r>
    </w:p>
    <w:p w:rsidR="002E6FEF" w:rsidRDefault="002E6FEF" w:rsidP="002E6FEF">
      <w:pPr>
        <w:spacing w:before="6" w:line="160" w:lineRule="exact"/>
        <w:rPr>
          <w:sz w:val="16"/>
          <w:szCs w:val="16"/>
        </w:rPr>
      </w:pPr>
    </w:p>
    <w:p w:rsidR="002E6FEF" w:rsidRDefault="002E6FEF" w:rsidP="002E6FEF">
      <w:pPr>
        <w:spacing w:line="275" w:lineRule="auto"/>
        <w:ind w:left="1353" w:right="2798" w:hanging="1200"/>
        <w:rPr>
          <w:sz w:val="24"/>
          <w:szCs w:val="24"/>
        </w:rPr>
      </w:pPr>
      <w:r>
        <w:rPr>
          <w:b/>
          <w:color w:val="3E691D"/>
          <w:sz w:val="24"/>
          <w:szCs w:val="24"/>
        </w:rPr>
        <w:t xml:space="preserve">Méthodes : </w:t>
      </w:r>
      <w:r>
        <w:rPr>
          <w:color w:val="000000"/>
          <w:sz w:val="24"/>
          <w:szCs w:val="24"/>
        </w:rPr>
        <w:t>Spectrophotométrie d’absorption atomique = REFERENCE Voltamétrie à décapage anodique</w:t>
      </w:r>
    </w:p>
    <w:p w:rsidR="002E6FEF" w:rsidRDefault="002E6FEF" w:rsidP="002E6FEF">
      <w:pPr>
        <w:spacing w:before="1" w:line="275" w:lineRule="auto"/>
        <w:ind w:left="1353" w:right="5347"/>
        <w:rPr>
          <w:sz w:val="24"/>
          <w:szCs w:val="24"/>
        </w:rPr>
      </w:pPr>
      <w:r>
        <w:rPr>
          <w:sz w:val="24"/>
          <w:szCs w:val="24"/>
        </w:rPr>
        <w:t>Torche à plasma couplée à la SM Polarographie</w:t>
      </w:r>
    </w:p>
    <w:p w:rsidR="002E6FEF" w:rsidRDefault="002E6FEF" w:rsidP="002E6FEF">
      <w:pPr>
        <w:spacing w:before="1"/>
        <w:ind w:left="1353"/>
        <w:rPr>
          <w:sz w:val="24"/>
          <w:szCs w:val="24"/>
        </w:rPr>
      </w:pPr>
      <w:r>
        <w:rPr>
          <w:sz w:val="24"/>
          <w:szCs w:val="24"/>
        </w:rPr>
        <w:t>Dithizone (Truhaut-Boudène)</w:t>
      </w:r>
    </w:p>
    <w:p w:rsidR="002E6FEF" w:rsidRDefault="002E6FEF" w:rsidP="002E6FEF">
      <w:pPr>
        <w:spacing w:before="1" w:line="160" w:lineRule="exact"/>
        <w:rPr>
          <w:sz w:val="16"/>
          <w:szCs w:val="16"/>
        </w:rPr>
      </w:pPr>
    </w:p>
    <w:p w:rsidR="002E6FEF" w:rsidRDefault="002E6FEF" w:rsidP="002E6FEF">
      <w:pPr>
        <w:ind w:left="153"/>
        <w:rPr>
          <w:sz w:val="24"/>
          <w:szCs w:val="24"/>
        </w:rPr>
      </w:pPr>
      <w:r>
        <w:rPr>
          <w:b/>
          <w:color w:val="3E691D"/>
          <w:sz w:val="24"/>
          <w:szCs w:val="24"/>
        </w:rPr>
        <w:t xml:space="preserve">Plombémie : </w:t>
      </w:r>
      <w:r>
        <w:rPr>
          <w:color w:val="000000"/>
          <w:sz w:val="24"/>
          <w:szCs w:val="24"/>
        </w:rPr>
        <w:t xml:space="preserve">adulte : </w:t>
      </w:r>
      <w:r>
        <w:rPr>
          <w:b/>
          <w:color w:val="000000"/>
          <w:sz w:val="24"/>
          <w:szCs w:val="24"/>
        </w:rPr>
        <w:t>N &lt; 300 µg/l,</w:t>
      </w:r>
      <w:r>
        <w:rPr>
          <w:b/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enfant : </w:t>
      </w:r>
      <w:r>
        <w:rPr>
          <w:b/>
          <w:color w:val="000000"/>
          <w:sz w:val="24"/>
          <w:szCs w:val="24"/>
        </w:rPr>
        <w:t>N &lt; 100 µg/l</w:t>
      </w:r>
    </w:p>
    <w:p w:rsidR="002E6FEF" w:rsidRDefault="002E6FEF" w:rsidP="002E6FEF">
      <w:pPr>
        <w:spacing w:before="6" w:line="420" w:lineRule="atLeast"/>
        <w:ind w:left="153" w:right="4239"/>
        <w:rPr>
          <w:sz w:val="24"/>
          <w:szCs w:val="24"/>
        </w:rPr>
      </w:pPr>
      <w:r>
        <w:rPr>
          <w:b/>
          <w:color w:val="002D99"/>
          <w:sz w:val="24"/>
          <w:szCs w:val="24"/>
        </w:rPr>
        <w:t xml:space="preserve">2. Marqueurs biologiques de l’intoxication au plomb : </w:t>
      </w:r>
      <w:r>
        <w:rPr>
          <w:b/>
          <w:color w:val="3E691D"/>
          <w:sz w:val="24"/>
          <w:szCs w:val="24"/>
        </w:rPr>
        <w:t>URINES :</w:t>
      </w:r>
    </w:p>
    <w:p w:rsidR="002E6FEF" w:rsidRDefault="002E6FEF" w:rsidP="002E6FEF">
      <w:pPr>
        <w:spacing w:before="41"/>
        <w:ind w:left="153"/>
        <w:rPr>
          <w:sz w:val="24"/>
          <w:szCs w:val="24"/>
        </w:rPr>
      </w:pPr>
      <w:r>
        <w:rPr>
          <w:b/>
          <w:sz w:val="24"/>
          <w:szCs w:val="24"/>
        </w:rPr>
        <w:t xml:space="preserve">ALA-U : </w:t>
      </w:r>
      <w:r>
        <w:rPr>
          <w:sz w:val="24"/>
          <w:szCs w:val="24"/>
        </w:rPr>
        <w:t>N &lt; 20 mg/g créatinine, bonne spécificité</w:t>
      </w:r>
    </w:p>
    <w:p w:rsidR="002E6FEF" w:rsidRDefault="002E6FEF" w:rsidP="002E6FEF">
      <w:pPr>
        <w:spacing w:before="45" w:line="275" w:lineRule="auto"/>
        <w:ind w:left="153" w:right="428"/>
        <w:rPr>
          <w:sz w:val="24"/>
          <w:szCs w:val="24"/>
        </w:rPr>
      </w:pPr>
      <w:r>
        <w:rPr>
          <w:b/>
          <w:sz w:val="24"/>
          <w:szCs w:val="24"/>
        </w:rPr>
        <w:t xml:space="preserve">Hyperplomburie provoquée : </w:t>
      </w:r>
      <w:r>
        <w:rPr>
          <w:sz w:val="24"/>
          <w:szCs w:val="24"/>
        </w:rPr>
        <w:t>injection EDTA calcique, recueil urines / 24h, dosage plomburie, saturnisme si [Pb]urines &gt; 300 µg/l</w:t>
      </w:r>
    </w:p>
    <w:p w:rsidR="002E6FEF" w:rsidRDefault="002E6FEF" w:rsidP="002E6FEF">
      <w:pPr>
        <w:spacing w:before="1"/>
        <w:ind w:left="153"/>
        <w:rPr>
          <w:sz w:val="24"/>
          <w:szCs w:val="24"/>
        </w:rPr>
      </w:pPr>
      <w:r>
        <w:rPr>
          <w:b/>
          <w:color w:val="3E691D"/>
          <w:sz w:val="24"/>
          <w:szCs w:val="24"/>
        </w:rPr>
        <w:t>SANG :</w:t>
      </w:r>
    </w:p>
    <w:p w:rsidR="002E6FEF" w:rsidRDefault="002E6FEF" w:rsidP="002E6FEF">
      <w:pPr>
        <w:spacing w:before="41" w:line="275" w:lineRule="auto"/>
        <w:ind w:left="153" w:right="798"/>
        <w:rPr>
          <w:sz w:val="24"/>
          <w:szCs w:val="24"/>
        </w:rPr>
      </w:pPr>
      <w:r>
        <w:rPr>
          <w:b/>
          <w:sz w:val="24"/>
          <w:szCs w:val="24"/>
        </w:rPr>
        <w:t xml:space="preserve">Protoporphyrines érythrocytaires (PP et PPZ) : </w:t>
      </w:r>
      <w:r>
        <w:rPr>
          <w:sz w:val="24"/>
          <w:szCs w:val="24"/>
        </w:rPr>
        <w:t>N &lt; 20 µg/g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Hb, corrélé à plombémie très précoce</w:t>
      </w:r>
    </w:p>
    <w:p w:rsidR="002E6FEF" w:rsidRDefault="002E6FEF" w:rsidP="002E6FEF">
      <w:pPr>
        <w:spacing w:line="260" w:lineRule="exact"/>
        <w:ind w:left="153"/>
        <w:rPr>
          <w:sz w:val="24"/>
          <w:szCs w:val="24"/>
        </w:rPr>
      </w:pPr>
      <w:r w:rsidRPr="00CD7C66">
        <w:pict>
          <v:group id="_x0000_s1119" style="position:absolute;left:0;text-align:left;margin-left:54.9pt;margin-top:26.1pt;width:485.4pt;height:1.55pt;z-index:-251643904;mso-position-horizontal-relative:page" coordorigin="1098,522" coordsize="9708,31">
            <v:group id="_x0000_s1120" style="position:absolute;left:1104;top:528;width:9696;height:0" coordorigin="1104,528" coordsize="9696,0">
              <v:shape id="_x0000_s1121" style="position:absolute;left:1104;top:528;width:9696;height:0" coordorigin="1104,528" coordsize="9696,0" path="m1104,528r9696,e" filled="f" strokecolor="#3365fe" strokeweight=".58pt">
                <v:path arrowok="t"/>
              </v:shape>
              <v:group id="_x0000_s1122" style="position:absolute;left:1104;top:547;width:9696;height:0" coordorigin="1104,547" coordsize="9696,0">
                <v:shape id="_x0000_s1123" style="position:absolute;left:1104;top:547;width:9696;height:0" coordorigin="1104,547" coordsize="9696,0" path="m1104,547r9696,e" filled="f" strokecolor="#3365fe" strokeweight=".58pt">
                  <v:path arrowok="t"/>
                </v:shape>
              </v:group>
            </v:group>
            <w10:wrap anchorx="page"/>
          </v:group>
        </w:pict>
      </w:r>
      <w:r>
        <w:rPr>
          <w:b/>
          <w:sz w:val="24"/>
          <w:szCs w:val="24"/>
        </w:rPr>
        <w:t xml:space="preserve">Hématies à granulations basophiles : </w:t>
      </w:r>
      <w:r>
        <w:rPr>
          <w:sz w:val="24"/>
          <w:szCs w:val="24"/>
        </w:rPr>
        <w:t>confirmation saturnisme</w:t>
      </w:r>
    </w:p>
    <w:p w:rsidR="002E6FEF" w:rsidRDefault="002E6FEF" w:rsidP="002E6FEF">
      <w:pPr>
        <w:spacing w:before="15" w:line="280" w:lineRule="exact"/>
        <w:rPr>
          <w:sz w:val="28"/>
          <w:szCs w:val="28"/>
        </w:rPr>
      </w:pPr>
    </w:p>
    <w:p w:rsidR="002E6FEF" w:rsidRDefault="002E6FEF" w:rsidP="002E6FEF">
      <w:pPr>
        <w:ind w:left="153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>IX. Conclusion :</w:t>
      </w:r>
    </w:p>
    <w:p w:rsidR="002E6FEF" w:rsidRDefault="002E6FEF" w:rsidP="002E6FEF">
      <w:pPr>
        <w:spacing w:before="6" w:line="160" w:lineRule="exact"/>
        <w:rPr>
          <w:sz w:val="16"/>
          <w:szCs w:val="16"/>
        </w:rPr>
      </w:pPr>
    </w:p>
    <w:p w:rsidR="002E6FEF" w:rsidRDefault="002E6FEF" w:rsidP="002E6FEF">
      <w:pPr>
        <w:ind w:left="153"/>
        <w:rPr>
          <w:sz w:val="24"/>
          <w:szCs w:val="24"/>
        </w:rPr>
      </w:pPr>
      <w:r>
        <w:rPr>
          <w:b/>
          <w:color w:val="002D99"/>
          <w:sz w:val="24"/>
          <w:szCs w:val="24"/>
        </w:rPr>
        <w:t xml:space="preserve">1. Saturnisme : </w:t>
      </w:r>
      <w:r>
        <w:rPr>
          <w:b/>
          <w:color w:val="000000"/>
          <w:sz w:val="24"/>
          <w:szCs w:val="24"/>
        </w:rPr>
        <w:t>maladie professionnelle à déclaration obligatoire (N° : 1)</w:t>
      </w:r>
    </w:p>
    <w:p w:rsidR="002E6FEF" w:rsidRDefault="002E6FEF" w:rsidP="002E6FEF">
      <w:pPr>
        <w:spacing w:before="41"/>
        <w:ind w:left="153"/>
        <w:rPr>
          <w:sz w:val="24"/>
          <w:szCs w:val="24"/>
        </w:rPr>
      </w:pPr>
      <w:r>
        <w:rPr>
          <w:b/>
          <w:color w:val="3E691D"/>
          <w:sz w:val="24"/>
          <w:szCs w:val="24"/>
        </w:rPr>
        <w:t xml:space="preserve">Mesures : </w:t>
      </w:r>
      <w:r>
        <w:rPr>
          <w:color w:val="000000"/>
          <w:sz w:val="24"/>
          <w:szCs w:val="24"/>
        </w:rPr>
        <w:t>évacuation des poussières, vêtements de protection, interdiction aliments / lieu de travail</w:t>
      </w:r>
    </w:p>
    <w:p w:rsidR="002E6FEF" w:rsidRDefault="002E6FEF" w:rsidP="002E6FEF">
      <w:pPr>
        <w:spacing w:before="41"/>
        <w:ind w:left="153"/>
        <w:rPr>
          <w:sz w:val="24"/>
          <w:szCs w:val="24"/>
        </w:rPr>
      </w:pPr>
      <w:r>
        <w:rPr>
          <w:b/>
          <w:color w:val="3E691D"/>
          <w:sz w:val="24"/>
          <w:szCs w:val="24"/>
        </w:rPr>
        <w:t xml:space="preserve">Surveillance : </w:t>
      </w:r>
      <w:r>
        <w:rPr>
          <w:color w:val="000000"/>
          <w:sz w:val="24"/>
          <w:szCs w:val="24"/>
        </w:rPr>
        <w:t>biologique (plombémie, PPZ, ALA-U), atmosphères ([Pb] &lt; 150 µg/m3)</w:t>
      </w:r>
    </w:p>
    <w:p w:rsidR="002E6FEF" w:rsidRDefault="002E6FEF" w:rsidP="002E6FEF">
      <w:pPr>
        <w:spacing w:before="1" w:line="160" w:lineRule="exact"/>
        <w:rPr>
          <w:sz w:val="16"/>
          <w:szCs w:val="16"/>
        </w:rPr>
      </w:pPr>
    </w:p>
    <w:p w:rsidR="002E6FEF" w:rsidRDefault="002E6FEF" w:rsidP="002E6FEF">
      <w:pPr>
        <w:ind w:left="153"/>
        <w:rPr>
          <w:sz w:val="24"/>
          <w:szCs w:val="24"/>
        </w:rPr>
      </w:pPr>
      <w:r>
        <w:rPr>
          <w:b/>
          <w:color w:val="002D99"/>
          <w:sz w:val="24"/>
          <w:szCs w:val="24"/>
        </w:rPr>
        <w:t>2. Protection de l’environnement</w:t>
      </w:r>
    </w:p>
    <w:p w:rsidR="002E6FEF" w:rsidRDefault="002E6FEF" w:rsidP="002E6FEF">
      <w:pPr>
        <w:spacing w:before="41"/>
        <w:ind w:left="153"/>
        <w:rPr>
          <w:sz w:val="24"/>
          <w:szCs w:val="24"/>
        </w:rPr>
      </w:pPr>
      <w:r>
        <w:rPr>
          <w:b/>
          <w:color w:val="3E691D"/>
          <w:sz w:val="24"/>
          <w:szCs w:val="24"/>
        </w:rPr>
        <w:t xml:space="preserve">Interdiction : </w:t>
      </w:r>
      <w:r>
        <w:rPr>
          <w:b/>
          <w:color w:val="000000"/>
          <w:sz w:val="24"/>
          <w:szCs w:val="24"/>
        </w:rPr>
        <w:t xml:space="preserve">carbonate </w:t>
      </w:r>
      <w:r>
        <w:rPr>
          <w:color w:val="000000"/>
          <w:sz w:val="24"/>
          <w:szCs w:val="24"/>
        </w:rPr>
        <w:t xml:space="preserve">(céruse) et </w:t>
      </w:r>
      <w:r>
        <w:rPr>
          <w:b/>
          <w:color w:val="000000"/>
          <w:sz w:val="24"/>
          <w:szCs w:val="24"/>
        </w:rPr>
        <w:t xml:space="preserve">sulfate </w:t>
      </w:r>
      <w:r>
        <w:rPr>
          <w:color w:val="000000"/>
          <w:sz w:val="24"/>
          <w:szCs w:val="24"/>
        </w:rPr>
        <w:t>Pb / peintures.</w:t>
      </w:r>
    </w:p>
    <w:p w:rsidR="002E6FEF" w:rsidRDefault="002E6FEF" w:rsidP="002E6FEF">
      <w:pPr>
        <w:spacing w:before="41"/>
        <w:ind w:left="1593"/>
        <w:rPr>
          <w:sz w:val="24"/>
          <w:szCs w:val="24"/>
        </w:rPr>
      </w:pPr>
      <w:r>
        <w:rPr>
          <w:b/>
          <w:sz w:val="24"/>
          <w:szCs w:val="24"/>
        </w:rPr>
        <w:t xml:space="preserve">PTE </w:t>
      </w:r>
      <w:r>
        <w:rPr>
          <w:sz w:val="24"/>
          <w:szCs w:val="24"/>
        </w:rPr>
        <w:t xml:space="preserve">(Pb tétraéthyle) dans </w:t>
      </w:r>
      <w:r>
        <w:rPr>
          <w:b/>
          <w:color w:val="3E691D"/>
          <w:sz w:val="24"/>
          <w:szCs w:val="24"/>
        </w:rPr>
        <w:t xml:space="preserve">carburants </w:t>
      </w:r>
      <w:r>
        <w:rPr>
          <w:color w:val="000000"/>
          <w:sz w:val="24"/>
          <w:szCs w:val="24"/>
        </w:rPr>
        <w:t>depuis 1/1/2000 en France.</w:t>
      </w:r>
    </w:p>
    <w:p w:rsidR="00EB77DC" w:rsidRDefault="00EB77DC" w:rsidP="00EB77DC"/>
    <w:sectPr w:rsidR="00EB77DC" w:rsidSect="00B72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BD9" w:rsidRDefault="008C0BD9" w:rsidP="00D2545E">
      <w:r>
        <w:separator/>
      </w:r>
    </w:p>
  </w:endnote>
  <w:endnote w:type="continuationSeparator" w:id="1">
    <w:p w:rsidR="008C0BD9" w:rsidRDefault="008C0BD9" w:rsidP="00D25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BD9" w:rsidRDefault="008C0BD9" w:rsidP="00D2545E">
      <w:r>
        <w:separator/>
      </w:r>
    </w:p>
  </w:footnote>
  <w:footnote w:type="continuationSeparator" w:id="1">
    <w:p w:rsidR="008C0BD9" w:rsidRDefault="008C0BD9" w:rsidP="00D25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B77DC"/>
    <w:rsid w:val="002E6FEF"/>
    <w:rsid w:val="008C0BD9"/>
    <w:rsid w:val="00B72C0A"/>
    <w:rsid w:val="00C0538E"/>
    <w:rsid w:val="00D2545E"/>
    <w:rsid w:val="00EB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B77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77D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7470</Characters>
  <Application>Microsoft Office Word</Application>
  <DocSecurity>0</DocSecurity>
  <Lines>62</Lines>
  <Paragraphs>17</Paragraphs>
  <ScaleCrop>false</ScaleCrop>
  <Company/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2020-04-01T14:12:00Z</dcterms:created>
  <dcterms:modified xsi:type="dcterms:W3CDTF">2020-04-01T14:12:00Z</dcterms:modified>
</cp:coreProperties>
</file>