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E6" w:rsidRDefault="00C772A3" w:rsidP="00C772A3">
      <w:pPr>
        <w:rPr>
          <w:rFonts w:ascii="Arial Black" w:hAnsi="Arial Black"/>
          <w:b/>
          <w:bCs/>
          <w:sz w:val="32"/>
          <w:szCs w:val="32"/>
        </w:rPr>
      </w:pPr>
      <w:r w:rsidRPr="00C772A3">
        <w:rPr>
          <w:rFonts w:ascii="Arial Black" w:hAnsi="Arial Black"/>
          <w:b/>
          <w:bCs/>
          <w:sz w:val="32"/>
          <w:szCs w:val="32"/>
        </w:rPr>
        <w:t>Leçon    3</w:t>
      </w:r>
    </w:p>
    <w:p w:rsidR="007E0AF0" w:rsidRDefault="007E0AF0" w:rsidP="007E0AF0">
      <w:pPr>
        <w:autoSpaceDE w:val="0"/>
        <w:autoSpaceDN w:val="0"/>
        <w:adjustRightInd w:val="0"/>
        <w:rPr>
          <w:rFonts w:ascii="Calibri" w:hAnsi="Calibri" w:cs="Calibri"/>
          <w:b/>
          <w:bCs/>
          <w:sz w:val="40"/>
          <w:szCs w:val="40"/>
        </w:rPr>
      </w:pPr>
      <w:r>
        <w:rPr>
          <w:rFonts w:ascii="Calibri" w:hAnsi="Calibri" w:cs="Calibri"/>
          <w:b/>
          <w:bCs/>
          <w:sz w:val="40"/>
          <w:szCs w:val="40"/>
        </w:rPr>
        <w:t xml:space="preserve">Méthodologie                                                 Master I et II  </w:t>
      </w:r>
    </w:p>
    <w:p w:rsidR="007E0AF0" w:rsidRDefault="007E0AF0" w:rsidP="007E0AF0">
      <w:pPr>
        <w:autoSpaceDE w:val="0"/>
        <w:autoSpaceDN w:val="0"/>
        <w:adjustRightInd w:val="0"/>
        <w:jc w:val="center"/>
        <w:rPr>
          <w:rFonts w:ascii="Calibri" w:hAnsi="Calibri" w:cs="Calibri"/>
          <w:b/>
          <w:bCs/>
          <w:sz w:val="32"/>
          <w:szCs w:val="32"/>
        </w:rPr>
      </w:pPr>
    </w:p>
    <w:p w:rsidR="007E0AF0" w:rsidRPr="00BA7BE7" w:rsidRDefault="007E0AF0" w:rsidP="007E0AF0">
      <w:pPr>
        <w:autoSpaceDE w:val="0"/>
        <w:autoSpaceDN w:val="0"/>
        <w:adjustRightInd w:val="0"/>
        <w:jc w:val="center"/>
        <w:rPr>
          <w:rFonts w:ascii="Calibri" w:hAnsi="Calibri" w:cs="Calibri"/>
          <w:b/>
          <w:bCs/>
          <w:sz w:val="36"/>
          <w:szCs w:val="36"/>
        </w:rPr>
      </w:pPr>
      <w:r w:rsidRPr="00BA7BE7">
        <w:rPr>
          <w:rFonts w:ascii="Calibri" w:hAnsi="Calibri" w:cs="Calibri"/>
          <w:b/>
          <w:bCs/>
          <w:sz w:val="36"/>
          <w:szCs w:val="36"/>
        </w:rPr>
        <w:t>Les  formes  de  connaissance  en  sciences  sociales</w:t>
      </w:r>
    </w:p>
    <w:p w:rsidR="007E0AF0" w:rsidRDefault="007E0AF0" w:rsidP="007E0AF0">
      <w:pPr>
        <w:autoSpaceDE w:val="0"/>
        <w:autoSpaceDN w:val="0"/>
        <w:adjustRightInd w:val="0"/>
        <w:jc w:val="center"/>
        <w:rPr>
          <w:rFonts w:ascii="Calibri" w:hAnsi="Calibri" w:cs="Calibri"/>
          <w:sz w:val="32"/>
          <w:szCs w:val="32"/>
        </w:rPr>
      </w:pPr>
      <w:r>
        <w:rPr>
          <w:rFonts w:ascii="Calibri" w:hAnsi="Calibri" w:cs="Calibri"/>
          <w:sz w:val="32"/>
          <w:szCs w:val="32"/>
        </w:rPr>
        <w:t xml:space="preserve">                                                                          </w:t>
      </w:r>
      <w:r>
        <w:rPr>
          <w:rFonts w:ascii="Calibri" w:hAnsi="Calibri" w:cs="Calibri"/>
          <w:sz w:val="28"/>
          <w:szCs w:val="28"/>
        </w:rPr>
        <w:t>B. MEZOUAR  (</w:t>
      </w:r>
      <w:proofErr w:type="spellStart"/>
      <w:r>
        <w:rPr>
          <w:rFonts w:ascii="Calibri" w:hAnsi="Calibri" w:cs="Calibri"/>
          <w:sz w:val="28"/>
          <w:szCs w:val="28"/>
        </w:rPr>
        <w:t>Univ</w:t>
      </w:r>
      <w:proofErr w:type="spellEnd"/>
      <w:r>
        <w:rPr>
          <w:rFonts w:ascii="Calibri" w:hAnsi="Calibri" w:cs="Calibri"/>
          <w:sz w:val="28"/>
          <w:szCs w:val="28"/>
        </w:rPr>
        <w:t xml:space="preserve"> de Tlemcen)</w:t>
      </w:r>
    </w:p>
    <w:p w:rsidR="007E0AF0" w:rsidRDefault="007E0AF0" w:rsidP="007E0AF0">
      <w:pPr>
        <w:jc w:val="both"/>
        <w:rPr>
          <w:b/>
          <w:bCs/>
          <w:sz w:val="32"/>
          <w:szCs w:val="32"/>
        </w:rPr>
      </w:pPr>
    </w:p>
    <w:p w:rsidR="007E0AF0" w:rsidRDefault="007E0AF0" w:rsidP="007E0AF0">
      <w:pPr>
        <w:jc w:val="both"/>
        <w:rPr>
          <w:b/>
          <w:bCs/>
          <w:sz w:val="28"/>
          <w:szCs w:val="28"/>
        </w:rPr>
      </w:pPr>
    </w:p>
    <w:p w:rsidR="007E0AF0" w:rsidRPr="0069612E" w:rsidRDefault="007E0AF0" w:rsidP="007E0AF0">
      <w:pPr>
        <w:jc w:val="both"/>
        <w:rPr>
          <w:b/>
          <w:bCs/>
          <w:sz w:val="32"/>
          <w:szCs w:val="32"/>
        </w:rPr>
      </w:pPr>
      <w:r>
        <w:rPr>
          <w:b/>
          <w:bCs/>
          <w:sz w:val="28"/>
          <w:szCs w:val="28"/>
        </w:rPr>
        <w:t>II</w:t>
      </w:r>
      <w:r w:rsidRPr="00C929C6">
        <w:rPr>
          <w:b/>
          <w:bCs/>
          <w:sz w:val="32"/>
          <w:szCs w:val="32"/>
        </w:rPr>
        <w:t xml:space="preserve"> -</w:t>
      </w:r>
      <w:r>
        <w:rPr>
          <w:b/>
          <w:bCs/>
          <w:sz w:val="32"/>
          <w:szCs w:val="32"/>
        </w:rPr>
        <w:t xml:space="preserve">  La deuxième forme de connaissance : la connaissance</w:t>
      </w:r>
      <w:r w:rsidRPr="0069612E">
        <w:rPr>
          <w:b/>
          <w:bCs/>
          <w:sz w:val="28"/>
          <w:szCs w:val="28"/>
        </w:rPr>
        <w:t xml:space="preserve"> </w:t>
      </w:r>
      <w:r w:rsidRPr="0069612E">
        <w:rPr>
          <w:b/>
          <w:bCs/>
          <w:sz w:val="32"/>
          <w:szCs w:val="32"/>
        </w:rPr>
        <w:t>théoriq</w:t>
      </w:r>
      <w:r>
        <w:rPr>
          <w:b/>
          <w:bCs/>
          <w:sz w:val="32"/>
          <w:szCs w:val="32"/>
        </w:rPr>
        <w:t>ue</w:t>
      </w:r>
      <w:r>
        <w:rPr>
          <w:b/>
          <w:bCs/>
          <w:sz w:val="28"/>
          <w:szCs w:val="28"/>
        </w:rPr>
        <w:t>(1)</w:t>
      </w:r>
      <w:r w:rsidRPr="0069612E">
        <w:rPr>
          <w:b/>
          <w:bCs/>
          <w:sz w:val="28"/>
          <w:szCs w:val="28"/>
        </w:rPr>
        <w:t xml:space="preserve">   </w:t>
      </w:r>
    </w:p>
    <w:p w:rsidR="007E0AF0" w:rsidRDefault="007E0AF0" w:rsidP="007E0AF0">
      <w:pPr>
        <w:pStyle w:val="Paragraphedeliste"/>
        <w:jc w:val="both"/>
        <w:rPr>
          <w:sz w:val="28"/>
          <w:szCs w:val="28"/>
        </w:rPr>
      </w:pPr>
      <w:r w:rsidRPr="00CB57DB">
        <w:rPr>
          <w:sz w:val="28"/>
          <w:szCs w:val="28"/>
        </w:rPr>
        <w:t xml:space="preserve">                      Les sciences sociales estiment que l’observation des faits sociaux n’informe pas le scientifique de leur essence et de leur sens. Tout au plus, elle livre ce qui est apparent, apparence qui peut induire le chercheur en erreur car tout phénomène </w:t>
      </w:r>
      <w:r>
        <w:rPr>
          <w:sz w:val="28"/>
          <w:szCs w:val="28"/>
        </w:rPr>
        <w:t xml:space="preserve">social (ou naturel) outre son aspect apparent et donc visible </w:t>
      </w:r>
      <w:r w:rsidRPr="00CB57DB">
        <w:rPr>
          <w:sz w:val="28"/>
          <w:szCs w:val="28"/>
        </w:rPr>
        <w:t xml:space="preserve">recèle </w:t>
      </w:r>
      <w:r>
        <w:rPr>
          <w:sz w:val="28"/>
          <w:szCs w:val="28"/>
        </w:rPr>
        <w:t xml:space="preserve">également </w:t>
      </w:r>
      <w:r w:rsidRPr="00CB57DB">
        <w:rPr>
          <w:sz w:val="28"/>
          <w:szCs w:val="28"/>
        </w:rPr>
        <w:t>un aspect caché</w:t>
      </w:r>
      <w:r>
        <w:rPr>
          <w:sz w:val="28"/>
          <w:szCs w:val="28"/>
        </w:rPr>
        <w:t xml:space="preserve"> donc invisible et</w:t>
      </w:r>
      <w:r w:rsidRPr="00CB57DB">
        <w:rPr>
          <w:sz w:val="28"/>
          <w:szCs w:val="28"/>
        </w:rPr>
        <w:t xml:space="preserve"> qui </w:t>
      </w:r>
      <w:r>
        <w:rPr>
          <w:sz w:val="28"/>
          <w:szCs w:val="28"/>
        </w:rPr>
        <w:t xml:space="preserve">lui </w:t>
      </w:r>
      <w:r w:rsidRPr="00CB57DB">
        <w:rPr>
          <w:sz w:val="28"/>
          <w:szCs w:val="28"/>
        </w:rPr>
        <w:t xml:space="preserve">s’avère en dernière instance </w:t>
      </w:r>
      <w:r>
        <w:rPr>
          <w:sz w:val="28"/>
          <w:szCs w:val="28"/>
        </w:rPr>
        <w:t>le réel et souvent le déterminant; exemple</w:t>
      </w:r>
      <w:proofErr w:type="gramStart"/>
      <w:r>
        <w:rPr>
          <w:sz w:val="28"/>
          <w:szCs w:val="28"/>
        </w:rPr>
        <w:t>:  la</w:t>
      </w:r>
      <w:proofErr w:type="gramEnd"/>
      <w:r>
        <w:rPr>
          <w:sz w:val="28"/>
          <w:szCs w:val="28"/>
        </w:rPr>
        <w:t xml:space="preserve"> terre est d’apparence plate alors qu’en réalité elle est ronde.</w:t>
      </w:r>
    </w:p>
    <w:p w:rsidR="007E0AF0" w:rsidRDefault="007E0AF0" w:rsidP="007E0AF0">
      <w:pPr>
        <w:pStyle w:val="Paragraphedeliste"/>
        <w:jc w:val="both"/>
        <w:rPr>
          <w:sz w:val="28"/>
          <w:szCs w:val="28"/>
        </w:rPr>
      </w:pPr>
      <w:r>
        <w:rPr>
          <w:sz w:val="28"/>
          <w:szCs w:val="28"/>
        </w:rPr>
        <w:t xml:space="preserve">             Si même les phénomènes naturels, neutres par définition et donc objectifs « éprouvent » le besoin de paraître autrement que ce qu’ils sont dans la réalité. Il en est encore plus pour les faits sociaux qui sont l’œuvre de personnes, membres d’une société particulière</w:t>
      </w:r>
      <w:r w:rsidRPr="00E4260F">
        <w:rPr>
          <w:sz w:val="28"/>
          <w:szCs w:val="28"/>
        </w:rPr>
        <w:t xml:space="preserve"> </w:t>
      </w:r>
      <w:r>
        <w:rPr>
          <w:sz w:val="28"/>
          <w:szCs w:val="28"/>
        </w:rPr>
        <w:t xml:space="preserve">appartenant à une période déterminée de l’histoire et font partie d’une classe sociale, d’une culture, d’une religion, etc.  C’est pour ces raisons que Les penseurs estiment que la science doit dépasser l’apparent   </w:t>
      </w:r>
    </w:p>
    <w:p w:rsidR="007E0AF0" w:rsidRPr="001C7401" w:rsidRDefault="007E0AF0" w:rsidP="007E0AF0">
      <w:pPr>
        <w:pStyle w:val="Paragraphedeliste"/>
        <w:jc w:val="both"/>
        <w:rPr>
          <w:sz w:val="28"/>
          <w:szCs w:val="28"/>
        </w:rPr>
      </w:pPr>
      <w:r>
        <w:rPr>
          <w:sz w:val="28"/>
          <w:szCs w:val="28"/>
        </w:rPr>
        <w:t xml:space="preserve">                  Le K. </w:t>
      </w:r>
      <w:r w:rsidRPr="001C7401">
        <w:rPr>
          <w:sz w:val="28"/>
          <w:szCs w:val="28"/>
        </w:rPr>
        <w:t xml:space="preserve">Marx des </w:t>
      </w:r>
      <w:proofErr w:type="spellStart"/>
      <w:r w:rsidRPr="001C7401">
        <w:rPr>
          <w:sz w:val="28"/>
          <w:szCs w:val="28"/>
        </w:rPr>
        <w:t>Grundrisse</w:t>
      </w:r>
      <w:proofErr w:type="spellEnd"/>
      <w:r w:rsidRPr="001C7401">
        <w:rPr>
          <w:sz w:val="28"/>
          <w:szCs w:val="28"/>
        </w:rPr>
        <w:t xml:space="preserve"> écrit « </w:t>
      </w:r>
      <w:r w:rsidRPr="001C7401">
        <w:rPr>
          <w:i/>
          <w:iCs/>
          <w:sz w:val="28"/>
          <w:szCs w:val="28"/>
        </w:rPr>
        <w:t>Sans distinction entre essence et apparence, l’idée de science n’aurait pas de sens</w:t>
      </w:r>
      <w:r w:rsidRPr="001C7401">
        <w:rPr>
          <w:sz w:val="28"/>
          <w:szCs w:val="28"/>
        </w:rPr>
        <w:t xml:space="preserve"> ». Plus tard, Bachelard lui emboite le pas en avertissant qu’ «  </w:t>
      </w:r>
      <w:r w:rsidRPr="001C7401">
        <w:rPr>
          <w:i/>
          <w:iCs/>
          <w:sz w:val="28"/>
          <w:szCs w:val="28"/>
        </w:rPr>
        <w:t>il n’y a de science que du caché</w:t>
      </w:r>
      <w:r w:rsidRPr="001C7401">
        <w:rPr>
          <w:sz w:val="28"/>
          <w:szCs w:val="28"/>
        </w:rPr>
        <w:t xml:space="preserve"> ». Lévi Strauss ne dit rien d’autre lorsqu’il clame haut et fort que « </w:t>
      </w:r>
      <w:r w:rsidRPr="001C7401">
        <w:rPr>
          <w:i/>
          <w:iCs/>
          <w:sz w:val="28"/>
          <w:szCs w:val="28"/>
        </w:rPr>
        <w:t>Pour atteindre le réel, il faut d’abord répudier le vécu</w:t>
      </w:r>
      <w:r w:rsidRPr="001C7401">
        <w:rPr>
          <w:sz w:val="28"/>
          <w:szCs w:val="28"/>
        </w:rPr>
        <w:t xml:space="preserve"> ». Apparence, vécu, impressions sont autant d’obstacles  à la connaissance.</w:t>
      </w:r>
    </w:p>
    <w:p w:rsidR="007E0AF0" w:rsidRDefault="007E0AF0" w:rsidP="007E0AF0">
      <w:pPr>
        <w:pStyle w:val="Paragraphedeliste"/>
        <w:jc w:val="both"/>
        <w:rPr>
          <w:sz w:val="28"/>
          <w:szCs w:val="28"/>
        </w:rPr>
      </w:pPr>
      <w:r w:rsidRPr="00CB57DB">
        <w:rPr>
          <w:sz w:val="28"/>
          <w:szCs w:val="28"/>
        </w:rPr>
        <w:lastRenderedPageBreak/>
        <w:t xml:space="preserve">            </w:t>
      </w:r>
      <w:r>
        <w:rPr>
          <w:sz w:val="28"/>
          <w:szCs w:val="28"/>
        </w:rPr>
        <w:t xml:space="preserve">    Et comme la science est à la recherche non pas de l’apparent, mais du réel, elle se doit d’aller au-delà de l’observation des faits sociaux </w:t>
      </w:r>
      <w:r w:rsidRPr="00CB57DB">
        <w:rPr>
          <w:sz w:val="28"/>
          <w:szCs w:val="28"/>
        </w:rPr>
        <w:t xml:space="preserve"> </w:t>
      </w:r>
      <w:r>
        <w:rPr>
          <w:sz w:val="28"/>
          <w:szCs w:val="28"/>
        </w:rPr>
        <w:t>et donc de dépasser le stade de la description en opérant</w:t>
      </w:r>
      <w:r w:rsidRPr="00CB57DB">
        <w:rPr>
          <w:sz w:val="28"/>
          <w:szCs w:val="28"/>
        </w:rPr>
        <w:t xml:space="preserve"> </w:t>
      </w:r>
      <w:r>
        <w:rPr>
          <w:sz w:val="28"/>
          <w:szCs w:val="28"/>
        </w:rPr>
        <w:t xml:space="preserve">ce qu’on appelle </w:t>
      </w:r>
      <w:r w:rsidRPr="00CB57DB">
        <w:rPr>
          <w:sz w:val="28"/>
          <w:szCs w:val="28"/>
        </w:rPr>
        <w:t xml:space="preserve">une </w:t>
      </w:r>
      <w:r w:rsidRPr="007E0AF0">
        <w:rPr>
          <w:b/>
          <w:bCs/>
          <w:sz w:val="28"/>
          <w:szCs w:val="28"/>
        </w:rPr>
        <w:t>coupure</w:t>
      </w:r>
      <w:r w:rsidRPr="00CB57DB">
        <w:rPr>
          <w:sz w:val="28"/>
          <w:szCs w:val="28"/>
        </w:rPr>
        <w:t xml:space="preserve"> </w:t>
      </w:r>
      <w:r w:rsidRPr="007E0AF0">
        <w:rPr>
          <w:b/>
          <w:bCs/>
          <w:sz w:val="28"/>
          <w:szCs w:val="28"/>
        </w:rPr>
        <w:t>épistémologique</w:t>
      </w:r>
      <w:r>
        <w:rPr>
          <w:sz w:val="28"/>
          <w:szCs w:val="28"/>
        </w:rPr>
        <w:t>.</w:t>
      </w:r>
      <w:r w:rsidRPr="00CB57DB">
        <w:rPr>
          <w:sz w:val="28"/>
          <w:szCs w:val="28"/>
        </w:rPr>
        <w:t xml:space="preserve"> </w:t>
      </w:r>
    </w:p>
    <w:p w:rsidR="007E0AF0" w:rsidRDefault="007E0AF0" w:rsidP="007E0AF0">
      <w:pPr>
        <w:pStyle w:val="Paragraphedeliste"/>
        <w:jc w:val="both"/>
        <w:rPr>
          <w:sz w:val="28"/>
          <w:szCs w:val="28"/>
        </w:rPr>
      </w:pPr>
      <w:r>
        <w:rPr>
          <w:sz w:val="28"/>
          <w:szCs w:val="28"/>
        </w:rPr>
        <w:t xml:space="preserve">Qu’est ce qu’une </w:t>
      </w:r>
      <w:r w:rsidRPr="00CB57DB">
        <w:rPr>
          <w:sz w:val="28"/>
          <w:szCs w:val="28"/>
        </w:rPr>
        <w:t>coupure épistémologique</w:t>
      </w:r>
      <w:r>
        <w:rPr>
          <w:sz w:val="28"/>
          <w:szCs w:val="28"/>
        </w:rPr>
        <w:t> ?</w:t>
      </w:r>
      <w:r w:rsidRPr="00CB57DB">
        <w:rPr>
          <w:sz w:val="28"/>
          <w:szCs w:val="28"/>
        </w:rPr>
        <w:t xml:space="preserve"> </w:t>
      </w:r>
      <w:r w:rsidRPr="00932C86">
        <w:rPr>
          <w:sz w:val="28"/>
          <w:szCs w:val="28"/>
        </w:rPr>
        <w:t xml:space="preserve">La </w:t>
      </w:r>
      <w:r>
        <w:rPr>
          <w:sz w:val="28"/>
          <w:szCs w:val="28"/>
        </w:rPr>
        <w:t xml:space="preserve">coupure épistémologique est un concept de G. Bachelard et désigne l’opération cognitive qui consiste à rejeter </w:t>
      </w:r>
      <w:r w:rsidRPr="00932C86">
        <w:rPr>
          <w:sz w:val="28"/>
          <w:szCs w:val="28"/>
        </w:rPr>
        <w:t>certaines connaissances antérieures</w:t>
      </w:r>
      <w:r>
        <w:rPr>
          <w:sz w:val="28"/>
          <w:szCs w:val="28"/>
        </w:rPr>
        <w:t xml:space="preserve"> considérées fausses</w:t>
      </w:r>
      <w:r w:rsidRPr="00932C86">
        <w:rPr>
          <w:sz w:val="28"/>
          <w:szCs w:val="28"/>
        </w:rPr>
        <w:t xml:space="preserve"> </w:t>
      </w:r>
      <w:r>
        <w:rPr>
          <w:sz w:val="28"/>
          <w:szCs w:val="28"/>
        </w:rPr>
        <w:t>pour accéder enfin</w:t>
      </w:r>
      <w:r w:rsidRPr="00932C86">
        <w:rPr>
          <w:sz w:val="28"/>
          <w:szCs w:val="28"/>
        </w:rPr>
        <w:t xml:space="preserve"> </w:t>
      </w:r>
      <w:r>
        <w:rPr>
          <w:sz w:val="28"/>
          <w:szCs w:val="28"/>
        </w:rPr>
        <w:t xml:space="preserve">à </w:t>
      </w:r>
      <w:r w:rsidRPr="00932C86">
        <w:rPr>
          <w:sz w:val="28"/>
          <w:szCs w:val="28"/>
        </w:rPr>
        <w:t>la connaissance nouvelle</w:t>
      </w:r>
      <w:r>
        <w:rPr>
          <w:sz w:val="28"/>
          <w:szCs w:val="28"/>
        </w:rPr>
        <w:t xml:space="preserve"> considérée, elle, plus juste</w:t>
      </w:r>
      <w:r w:rsidRPr="00932C86">
        <w:rPr>
          <w:sz w:val="28"/>
          <w:szCs w:val="28"/>
        </w:rPr>
        <w:t>.</w:t>
      </w:r>
      <w:r>
        <w:rPr>
          <w:sz w:val="28"/>
          <w:szCs w:val="28"/>
        </w:rPr>
        <w:t xml:space="preserve"> Concrètement cette rupture prend deux formes : </w:t>
      </w:r>
    </w:p>
    <w:p w:rsidR="007E0AF0" w:rsidRDefault="007E0AF0" w:rsidP="007E0AF0">
      <w:pPr>
        <w:pStyle w:val="Paragraphedeliste"/>
        <w:jc w:val="both"/>
        <w:rPr>
          <w:sz w:val="28"/>
          <w:szCs w:val="28"/>
        </w:rPr>
      </w:pPr>
      <w:r>
        <w:rPr>
          <w:sz w:val="28"/>
          <w:szCs w:val="28"/>
        </w:rPr>
        <w:t xml:space="preserve">                    1- elle prend la forme du passage d’un paradigme à un autre, c'est-à-dire le passage d’un mode de connaissance jugée faux ou insuffisant à un mode de connaissance jugée plus juste ou plus fécond ; bref c’est un changement de paradigme, une révolution scientifique (Th. Kuhn). L’exemple </w:t>
      </w:r>
      <w:proofErr w:type="gramStart"/>
      <w:r>
        <w:rPr>
          <w:sz w:val="28"/>
          <w:szCs w:val="28"/>
        </w:rPr>
        <w:t>de Ibn</w:t>
      </w:r>
      <w:proofErr w:type="gramEnd"/>
      <w:r>
        <w:rPr>
          <w:sz w:val="28"/>
          <w:szCs w:val="28"/>
        </w:rPr>
        <w:t xml:space="preserve"> </w:t>
      </w:r>
      <w:proofErr w:type="spellStart"/>
      <w:r>
        <w:rPr>
          <w:sz w:val="28"/>
          <w:szCs w:val="28"/>
        </w:rPr>
        <w:t>Khadun</w:t>
      </w:r>
      <w:proofErr w:type="spellEnd"/>
      <w:r>
        <w:rPr>
          <w:sz w:val="28"/>
          <w:szCs w:val="28"/>
        </w:rPr>
        <w:t xml:space="preserve"> qui fait passer la connaissance historique de l’historiographie (narration) à l’histoire (explication)</w:t>
      </w:r>
    </w:p>
    <w:p w:rsidR="007E0AF0" w:rsidRDefault="007E0AF0" w:rsidP="007E0AF0">
      <w:pPr>
        <w:pStyle w:val="Paragraphedeliste"/>
        <w:jc w:val="both"/>
        <w:rPr>
          <w:sz w:val="28"/>
          <w:szCs w:val="28"/>
        </w:rPr>
      </w:pPr>
      <w:r>
        <w:rPr>
          <w:sz w:val="28"/>
          <w:szCs w:val="28"/>
        </w:rPr>
        <w:t xml:space="preserve">                 2-la coupure épistémologique est aussi rupture avec les idées reçues, c'est-à-dire avec le sens commun que Bachelard appelle le </w:t>
      </w:r>
      <w:r w:rsidRPr="007E0AF0">
        <w:rPr>
          <w:b/>
          <w:bCs/>
          <w:sz w:val="28"/>
          <w:szCs w:val="28"/>
        </w:rPr>
        <w:t>donné</w:t>
      </w:r>
      <w:r>
        <w:rPr>
          <w:sz w:val="28"/>
          <w:szCs w:val="28"/>
        </w:rPr>
        <w:t xml:space="preserve"> ou encore l’opinion, tandis que </w:t>
      </w:r>
      <w:r w:rsidRPr="00CB57DB">
        <w:rPr>
          <w:sz w:val="28"/>
          <w:szCs w:val="28"/>
        </w:rPr>
        <w:t>Durkheim</w:t>
      </w:r>
      <w:r>
        <w:rPr>
          <w:sz w:val="28"/>
          <w:szCs w:val="28"/>
        </w:rPr>
        <w:t xml:space="preserve"> le qualifie de </w:t>
      </w:r>
      <w:r w:rsidRPr="007E0AF0">
        <w:rPr>
          <w:b/>
          <w:bCs/>
          <w:sz w:val="28"/>
          <w:szCs w:val="28"/>
        </w:rPr>
        <w:t>prénotions</w:t>
      </w:r>
      <w:r w:rsidRPr="005447F6">
        <w:rPr>
          <w:sz w:val="28"/>
          <w:szCs w:val="28"/>
        </w:rPr>
        <w:t xml:space="preserve"> </w:t>
      </w:r>
      <w:r>
        <w:rPr>
          <w:sz w:val="28"/>
          <w:szCs w:val="28"/>
        </w:rPr>
        <w:t xml:space="preserve">et que </w:t>
      </w:r>
      <w:r w:rsidRPr="005447F6">
        <w:rPr>
          <w:sz w:val="28"/>
          <w:szCs w:val="28"/>
        </w:rPr>
        <w:t>Bourdieu</w:t>
      </w:r>
      <w:r>
        <w:rPr>
          <w:sz w:val="28"/>
          <w:szCs w:val="28"/>
        </w:rPr>
        <w:t xml:space="preserve"> à son tour l’appelle </w:t>
      </w:r>
      <w:r w:rsidRPr="007E0AF0">
        <w:rPr>
          <w:b/>
          <w:bCs/>
          <w:sz w:val="28"/>
          <w:szCs w:val="28"/>
        </w:rPr>
        <w:t>sociologie spontanée</w:t>
      </w:r>
      <w:r w:rsidRPr="005447F6">
        <w:rPr>
          <w:sz w:val="28"/>
          <w:szCs w:val="28"/>
        </w:rPr>
        <w:t xml:space="preserve">.  </w:t>
      </w:r>
    </w:p>
    <w:p w:rsidR="007E0AF0" w:rsidRPr="005447F6" w:rsidRDefault="007E0AF0" w:rsidP="007E0AF0">
      <w:pPr>
        <w:pStyle w:val="Paragraphedeliste"/>
        <w:jc w:val="both"/>
        <w:rPr>
          <w:sz w:val="28"/>
          <w:szCs w:val="28"/>
        </w:rPr>
      </w:pPr>
      <w:r>
        <w:rPr>
          <w:sz w:val="28"/>
          <w:szCs w:val="28"/>
        </w:rPr>
        <w:t xml:space="preserve">                 On le voit bien la connaissance scientifique nécessité d’a</w:t>
      </w:r>
      <w:r w:rsidRPr="005447F6">
        <w:rPr>
          <w:sz w:val="28"/>
          <w:szCs w:val="28"/>
        </w:rPr>
        <w:t>ller au-delà de l’apparent</w:t>
      </w:r>
      <w:r>
        <w:rPr>
          <w:sz w:val="28"/>
          <w:szCs w:val="28"/>
        </w:rPr>
        <w:t xml:space="preserve">, du donné, du vécu. Et pour ce faire, il faut se </w:t>
      </w:r>
      <w:proofErr w:type="spellStart"/>
      <w:r>
        <w:rPr>
          <w:sz w:val="28"/>
          <w:szCs w:val="28"/>
        </w:rPr>
        <w:t>se</w:t>
      </w:r>
      <w:proofErr w:type="spellEnd"/>
      <w:r>
        <w:rPr>
          <w:sz w:val="28"/>
          <w:szCs w:val="28"/>
        </w:rPr>
        <w:t xml:space="preserve"> poser la question </w:t>
      </w:r>
      <w:r w:rsidRPr="005447F6">
        <w:rPr>
          <w:sz w:val="28"/>
          <w:szCs w:val="28"/>
        </w:rPr>
        <w:t>Pourquoi et Comment</w:t>
      </w:r>
      <w:r>
        <w:rPr>
          <w:sz w:val="28"/>
          <w:szCs w:val="28"/>
        </w:rPr>
        <w:t>. Ce n</w:t>
      </w:r>
      <w:r w:rsidRPr="005447F6">
        <w:rPr>
          <w:sz w:val="28"/>
          <w:szCs w:val="28"/>
        </w:rPr>
        <w:t xml:space="preserve">’est </w:t>
      </w:r>
      <w:r>
        <w:rPr>
          <w:sz w:val="28"/>
          <w:szCs w:val="28"/>
        </w:rPr>
        <w:t>qu’</w:t>
      </w:r>
      <w:r w:rsidRPr="005447F6">
        <w:rPr>
          <w:sz w:val="28"/>
          <w:szCs w:val="28"/>
        </w:rPr>
        <w:t xml:space="preserve">ainsi  que le chercheur parviendra à </w:t>
      </w:r>
      <w:r w:rsidRPr="007E0AF0">
        <w:rPr>
          <w:b/>
          <w:bCs/>
          <w:sz w:val="28"/>
          <w:szCs w:val="28"/>
        </w:rPr>
        <w:t>expliquer</w:t>
      </w:r>
      <w:r>
        <w:rPr>
          <w:sz w:val="28"/>
          <w:szCs w:val="28"/>
        </w:rPr>
        <w:t xml:space="preserve"> </w:t>
      </w:r>
      <w:r w:rsidRPr="005447F6">
        <w:rPr>
          <w:sz w:val="28"/>
          <w:szCs w:val="28"/>
        </w:rPr>
        <w:t xml:space="preserve">et à </w:t>
      </w:r>
      <w:r w:rsidRPr="007E0AF0">
        <w:rPr>
          <w:b/>
          <w:bCs/>
          <w:sz w:val="28"/>
          <w:szCs w:val="28"/>
        </w:rPr>
        <w:t>comprendre</w:t>
      </w:r>
      <w:r w:rsidRPr="005447F6">
        <w:rPr>
          <w:sz w:val="28"/>
          <w:szCs w:val="28"/>
        </w:rPr>
        <w:t xml:space="preserve"> les faits sociaux. Et c’est ça le niveau théorique de la connaissance.</w:t>
      </w:r>
    </w:p>
    <w:tbl>
      <w:tblPr>
        <w:tblW w:w="5000" w:type="pct"/>
        <w:jc w:val="center"/>
        <w:tblCellSpacing w:w="15" w:type="dxa"/>
        <w:tblCellMar>
          <w:top w:w="75" w:type="dxa"/>
          <w:left w:w="75" w:type="dxa"/>
          <w:bottom w:w="75" w:type="dxa"/>
          <w:right w:w="75" w:type="dxa"/>
        </w:tblCellMar>
        <w:tblLook w:val="04A0"/>
      </w:tblPr>
      <w:tblGrid>
        <w:gridCol w:w="2755"/>
        <w:gridCol w:w="6527"/>
      </w:tblGrid>
      <w:tr w:rsidR="007E0AF0" w:rsidRPr="00AB6972" w:rsidTr="009F5A8C">
        <w:trPr>
          <w:tblCellSpacing w:w="15" w:type="dxa"/>
          <w:jc w:val="center"/>
        </w:trPr>
        <w:tc>
          <w:tcPr>
            <w:tcW w:w="1000" w:type="pct"/>
            <w:hideMark/>
          </w:tcPr>
          <w:p w:rsidR="007E0AF0" w:rsidRPr="00AB6972" w:rsidRDefault="007E0AF0" w:rsidP="009F5A8C">
            <w:pPr>
              <w:pStyle w:val="Paragraphedeliste"/>
              <w:jc w:val="both"/>
              <w:rPr>
                <w:b/>
                <w:bCs/>
                <w:sz w:val="28"/>
                <w:szCs w:val="28"/>
              </w:rPr>
            </w:pPr>
            <w:r>
              <w:rPr>
                <w:b/>
                <w:bCs/>
                <w:sz w:val="28"/>
                <w:szCs w:val="28"/>
              </w:rPr>
              <w:t>E</w:t>
            </w:r>
            <w:r w:rsidRPr="00AB6972">
              <w:rPr>
                <w:b/>
                <w:bCs/>
                <w:sz w:val="28"/>
                <w:szCs w:val="28"/>
              </w:rPr>
              <w:t>xpliquer</w:t>
            </w:r>
          </w:p>
        </w:tc>
        <w:tc>
          <w:tcPr>
            <w:tcW w:w="4000" w:type="pct"/>
            <w:hideMark/>
          </w:tcPr>
          <w:p w:rsidR="007E0AF0" w:rsidRDefault="007E0AF0" w:rsidP="009F5A8C">
            <w:pPr>
              <w:rPr>
                <w:sz w:val="32"/>
                <w:szCs w:val="32"/>
              </w:rPr>
            </w:pPr>
            <w:r w:rsidRPr="00AB6972">
              <w:rPr>
                <w:sz w:val="28"/>
                <w:szCs w:val="28"/>
              </w:rPr>
              <w:t>Étymologiquement, expliquer, c'est déplier.</w:t>
            </w:r>
            <w:r>
              <w:rPr>
                <w:sz w:val="28"/>
                <w:szCs w:val="28"/>
              </w:rPr>
              <w:t xml:space="preserve"> </w:t>
            </w:r>
            <w:r w:rsidRPr="0024372C">
              <w:rPr>
                <w:sz w:val="28"/>
                <w:szCs w:val="28"/>
              </w:rPr>
              <w:t>On associe souvent l'</w:t>
            </w:r>
            <w:r w:rsidRPr="007E0AF0">
              <w:rPr>
                <w:b/>
                <w:bCs/>
                <w:sz w:val="28"/>
                <w:szCs w:val="28"/>
              </w:rPr>
              <w:t>explication</w:t>
            </w:r>
            <w:r w:rsidRPr="0024372C">
              <w:rPr>
                <w:sz w:val="28"/>
                <w:szCs w:val="28"/>
              </w:rPr>
              <w:t xml:space="preserve"> à une démarche analytique : décomposer un phénomène pour le rendre intelligible, alors qu'on associe plutôt la </w:t>
            </w:r>
            <w:r w:rsidRPr="007E0AF0">
              <w:rPr>
                <w:b/>
                <w:bCs/>
                <w:sz w:val="28"/>
                <w:szCs w:val="28"/>
              </w:rPr>
              <w:t>compréhension</w:t>
            </w:r>
            <w:r w:rsidRPr="0024372C">
              <w:rPr>
                <w:sz w:val="28"/>
                <w:szCs w:val="28"/>
              </w:rPr>
              <w:t xml:space="preserve"> à une démarche synthétique globale.</w:t>
            </w:r>
            <w:r>
              <w:rPr>
                <w:sz w:val="28"/>
                <w:szCs w:val="28"/>
              </w:rPr>
              <w:t xml:space="preserve"> </w:t>
            </w:r>
            <w:r w:rsidRPr="0024372C">
              <w:rPr>
                <w:sz w:val="28"/>
                <w:szCs w:val="28"/>
              </w:rPr>
              <w:t xml:space="preserve">On associe aussi l'explication à la recherche des </w:t>
            </w:r>
            <w:r w:rsidRPr="0024372C">
              <w:rPr>
                <w:b/>
                <w:bCs/>
                <w:sz w:val="28"/>
                <w:szCs w:val="28"/>
              </w:rPr>
              <w:t>causes</w:t>
            </w:r>
            <w:r w:rsidRPr="0024372C">
              <w:rPr>
                <w:sz w:val="28"/>
                <w:szCs w:val="28"/>
              </w:rPr>
              <w:t xml:space="preserve"> et la compréhension à la recherche des </w:t>
            </w:r>
            <w:proofErr w:type="gramStart"/>
            <w:r w:rsidRPr="0024372C">
              <w:rPr>
                <w:b/>
                <w:bCs/>
                <w:sz w:val="28"/>
                <w:szCs w:val="28"/>
              </w:rPr>
              <w:t>raisons</w:t>
            </w:r>
            <w:r w:rsidRPr="0024372C">
              <w:rPr>
                <w:sz w:val="28"/>
                <w:szCs w:val="28"/>
              </w:rPr>
              <w:t xml:space="preserve"> ,</w:t>
            </w:r>
            <w:proofErr w:type="gramEnd"/>
            <w:r w:rsidRPr="0024372C">
              <w:rPr>
                <w:sz w:val="28"/>
                <w:szCs w:val="28"/>
              </w:rPr>
              <w:t xml:space="preserve"> des </w:t>
            </w:r>
            <w:r w:rsidRPr="0024372C">
              <w:rPr>
                <w:b/>
                <w:bCs/>
                <w:sz w:val="28"/>
                <w:szCs w:val="28"/>
              </w:rPr>
              <w:t>motifs</w:t>
            </w:r>
            <w:r w:rsidRPr="0024372C">
              <w:rPr>
                <w:sz w:val="28"/>
                <w:szCs w:val="28"/>
              </w:rPr>
              <w:t xml:space="preserve"> et du </w:t>
            </w:r>
            <w:r w:rsidRPr="0024372C">
              <w:rPr>
                <w:b/>
                <w:bCs/>
                <w:sz w:val="28"/>
                <w:szCs w:val="28"/>
              </w:rPr>
              <w:t>sens</w:t>
            </w:r>
            <w:r w:rsidRPr="0024372C">
              <w:rPr>
                <w:sz w:val="28"/>
                <w:szCs w:val="28"/>
              </w:rPr>
              <w:t>.</w:t>
            </w:r>
            <w:r w:rsidRPr="0024372C">
              <w:rPr>
                <w:sz w:val="32"/>
                <w:szCs w:val="32"/>
              </w:rPr>
              <w:t xml:space="preserve"> </w:t>
            </w:r>
          </w:p>
          <w:p w:rsidR="007E0AF0" w:rsidRPr="0024372C" w:rsidRDefault="007E0AF0" w:rsidP="009F5A8C">
            <w:pPr>
              <w:rPr>
                <w:sz w:val="28"/>
                <w:szCs w:val="28"/>
              </w:rPr>
            </w:pPr>
            <w:r w:rsidRPr="0024372C">
              <w:rPr>
                <w:sz w:val="28"/>
                <w:szCs w:val="28"/>
              </w:rPr>
              <w:t xml:space="preserve">On peut donc </w:t>
            </w:r>
            <w:r w:rsidRPr="0024372C">
              <w:rPr>
                <w:b/>
                <w:bCs/>
                <w:sz w:val="28"/>
                <w:szCs w:val="28"/>
              </w:rPr>
              <w:t>comprendre</w:t>
            </w:r>
            <w:r w:rsidRPr="0024372C">
              <w:rPr>
                <w:sz w:val="28"/>
                <w:szCs w:val="28"/>
              </w:rPr>
              <w:t xml:space="preserve"> quelque chose sans </w:t>
            </w:r>
            <w:r w:rsidRPr="0024372C">
              <w:rPr>
                <w:sz w:val="28"/>
                <w:szCs w:val="28"/>
              </w:rPr>
              <w:lastRenderedPageBreak/>
              <w:t xml:space="preserve">nécessairement être capable de </w:t>
            </w:r>
            <w:r w:rsidRPr="0024372C">
              <w:rPr>
                <w:b/>
                <w:bCs/>
                <w:sz w:val="28"/>
                <w:szCs w:val="28"/>
              </w:rPr>
              <w:t>l'expliquer</w:t>
            </w:r>
            <w:r w:rsidRPr="0024372C">
              <w:rPr>
                <w:sz w:val="28"/>
                <w:szCs w:val="28"/>
              </w:rPr>
              <w:t>.</w:t>
            </w:r>
          </w:p>
        </w:tc>
      </w:tr>
      <w:tr w:rsidR="007E0AF0" w:rsidRPr="00AB6972" w:rsidTr="009F5A8C">
        <w:trPr>
          <w:tblCellSpacing w:w="15" w:type="dxa"/>
          <w:jc w:val="center"/>
        </w:trPr>
        <w:tc>
          <w:tcPr>
            <w:tcW w:w="1000" w:type="pct"/>
            <w:hideMark/>
          </w:tcPr>
          <w:p w:rsidR="007E0AF0" w:rsidRPr="00AB6972" w:rsidRDefault="007E0AF0" w:rsidP="009F5A8C">
            <w:pPr>
              <w:pStyle w:val="Paragraphedeliste"/>
              <w:jc w:val="both"/>
              <w:rPr>
                <w:b/>
                <w:bCs/>
                <w:sz w:val="28"/>
                <w:szCs w:val="28"/>
              </w:rPr>
            </w:pPr>
            <w:r w:rsidRPr="00AB6972">
              <w:rPr>
                <w:b/>
                <w:bCs/>
                <w:sz w:val="28"/>
                <w:szCs w:val="28"/>
              </w:rPr>
              <w:lastRenderedPageBreak/>
              <w:t>Comprendre</w:t>
            </w:r>
          </w:p>
        </w:tc>
        <w:tc>
          <w:tcPr>
            <w:tcW w:w="4000" w:type="pct"/>
            <w:hideMark/>
          </w:tcPr>
          <w:p w:rsidR="007E0AF0" w:rsidRPr="0024372C" w:rsidRDefault="007E0AF0" w:rsidP="009F5A8C">
            <w:pPr>
              <w:pStyle w:val="Paragraphedeliste"/>
              <w:rPr>
                <w:sz w:val="28"/>
                <w:szCs w:val="28"/>
              </w:rPr>
            </w:pPr>
            <w:r w:rsidRPr="00AB6972">
              <w:rPr>
                <w:sz w:val="28"/>
                <w:szCs w:val="28"/>
              </w:rPr>
              <w:t>Étymologiquement, comprendre, c'est prendre avec.</w:t>
            </w:r>
            <w:r>
              <w:rPr>
                <w:sz w:val="28"/>
                <w:szCs w:val="28"/>
              </w:rPr>
              <w:t xml:space="preserve">  </w:t>
            </w:r>
            <w:r w:rsidRPr="0024372C">
              <w:rPr>
                <w:sz w:val="28"/>
                <w:szCs w:val="28"/>
              </w:rPr>
              <w:t>Comprendre est l'acte par lequel l'esprit s'approprie une connaissance. Comprendre, ce n'est pas simplement savoir, mais avoir assimilé la connaissance.</w:t>
            </w:r>
            <w:r w:rsidRPr="0024372C">
              <w:rPr>
                <w:sz w:val="28"/>
                <w:szCs w:val="28"/>
              </w:rPr>
              <w:br/>
              <w:t xml:space="preserve">C'est pour cela que </w:t>
            </w:r>
            <w:r w:rsidRPr="0024372C">
              <w:rPr>
                <w:b/>
                <w:bCs/>
                <w:sz w:val="28"/>
                <w:szCs w:val="28"/>
              </w:rPr>
              <w:t>Primo</w:t>
            </w:r>
            <w:r w:rsidRPr="0024372C">
              <w:rPr>
                <w:sz w:val="28"/>
                <w:szCs w:val="28"/>
              </w:rPr>
              <w:t xml:space="preserve"> </w:t>
            </w:r>
            <w:r w:rsidRPr="0024372C">
              <w:rPr>
                <w:b/>
                <w:bCs/>
                <w:sz w:val="28"/>
                <w:szCs w:val="28"/>
              </w:rPr>
              <w:t>Levi</w:t>
            </w:r>
            <w:r w:rsidRPr="0024372C">
              <w:rPr>
                <w:sz w:val="28"/>
                <w:szCs w:val="28"/>
              </w:rPr>
              <w:t xml:space="preserve"> dit que le nazisme "ne peut pas être compris</w:t>
            </w:r>
            <w:proofErr w:type="gramStart"/>
            <w:r w:rsidRPr="0024372C">
              <w:rPr>
                <w:sz w:val="28"/>
                <w:szCs w:val="28"/>
              </w:rPr>
              <w:t>,,</w:t>
            </w:r>
            <w:proofErr w:type="gramEnd"/>
            <w:r w:rsidRPr="0024372C">
              <w:rPr>
                <w:sz w:val="28"/>
                <w:szCs w:val="28"/>
              </w:rPr>
              <w:t xml:space="preserve"> et même ne doit pas être compris, dans la mesure ou comprendre, c'est presque justifier."</w:t>
            </w:r>
          </w:p>
          <w:p w:rsidR="007E0AF0" w:rsidRPr="00AB6972" w:rsidRDefault="007E0AF0" w:rsidP="009F5A8C">
            <w:pPr>
              <w:pStyle w:val="Paragraphedeliste"/>
              <w:rPr>
                <w:sz w:val="28"/>
                <w:szCs w:val="28"/>
              </w:rPr>
            </w:pPr>
            <w:r w:rsidRPr="00AB6972">
              <w:rPr>
                <w:sz w:val="28"/>
                <w:szCs w:val="28"/>
              </w:rPr>
              <w:t> </w:t>
            </w:r>
          </w:p>
        </w:tc>
      </w:tr>
      <w:tr w:rsidR="007E0AF0" w:rsidRPr="00AB6972" w:rsidTr="009F5A8C">
        <w:trPr>
          <w:tblCellSpacing w:w="15" w:type="dxa"/>
          <w:jc w:val="center"/>
        </w:trPr>
        <w:tc>
          <w:tcPr>
            <w:tcW w:w="1000" w:type="pct"/>
            <w:hideMark/>
          </w:tcPr>
          <w:p w:rsidR="007E0AF0" w:rsidRPr="00AB6972" w:rsidRDefault="007E0AF0" w:rsidP="009F5A8C">
            <w:pPr>
              <w:pStyle w:val="Paragraphedeliste"/>
              <w:jc w:val="both"/>
              <w:rPr>
                <w:b/>
                <w:bCs/>
                <w:sz w:val="28"/>
                <w:szCs w:val="28"/>
              </w:rPr>
            </w:pPr>
            <w:r w:rsidRPr="00AB6972">
              <w:rPr>
                <w:b/>
                <w:bCs/>
                <w:sz w:val="28"/>
                <w:szCs w:val="28"/>
              </w:rPr>
              <w:t>Compréhension</w:t>
            </w:r>
          </w:p>
        </w:tc>
        <w:tc>
          <w:tcPr>
            <w:tcW w:w="4000" w:type="pct"/>
            <w:hideMark/>
          </w:tcPr>
          <w:p w:rsidR="007E0AF0" w:rsidRPr="00AB6972" w:rsidRDefault="007E0AF0" w:rsidP="009F5A8C">
            <w:pPr>
              <w:pStyle w:val="Paragraphedeliste"/>
              <w:rPr>
                <w:sz w:val="28"/>
                <w:szCs w:val="28"/>
              </w:rPr>
            </w:pPr>
            <w:r w:rsidRPr="00AB6972">
              <w:rPr>
                <w:sz w:val="28"/>
                <w:szCs w:val="28"/>
              </w:rPr>
              <w:t>La compréhension serait une démarche, d'ordre intuitif et synthétique, visant la recherche du sens global des phénomènes, qui serait à l'</w:t>
            </w:r>
            <w:proofErr w:type="spellStart"/>
            <w:r w:rsidRPr="00AB6972">
              <w:rPr>
                <w:sz w:val="28"/>
                <w:szCs w:val="28"/>
              </w:rPr>
              <w:t>oeuvre</w:t>
            </w:r>
            <w:proofErr w:type="spellEnd"/>
            <w:r w:rsidRPr="00AB6972">
              <w:rPr>
                <w:sz w:val="28"/>
                <w:szCs w:val="28"/>
              </w:rPr>
              <w:t xml:space="preserve"> dans les </w:t>
            </w:r>
            <w:r w:rsidRPr="0024372C">
              <w:rPr>
                <w:b/>
                <w:bCs/>
                <w:sz w:val="28"/>
                <w:szCs w:val="28"/>
              </w:rPr>
              <w:t>sciences humaines</w:t>
            </w:r>
            <w:r w:rsidRPr="00AB6972">
              <w:rPr>
                <w:sz w:val="28"/>
                <w:szCs w:val="28"/>
              </w:rPr>
              <w:t>, par opposition à l'explication à l'</w:t>
            </w:r>
            <w:proofErr w:type="spellStart"/>
            <w:r w:rsidRPr="00AB6972">
              <w:rPr>
                <w:sz w:val="28"/>
                <w:szCs w:val="28"/>
              </w:rPr>
              <w:t>oeuvre</w:t>
            </w:r>
            <w:proofErr w:type="spellEnd"/>
            <w:r w:rsidRPr="00AB6972">
              <w:rPr>
                <w:sz w:val="28"/>
                <w:szCs w:val="28"/>
              </w:rPr>
              <w:t xml:space="preserve"> dans les </w:t>
            </w:r>
            <w:r w:rsidRPr="0024372C">
              <w:rPr>
                <w:b/>
                <w:bCs/>
                <w:sz w:val="28"/>
                <w:szCs w:val="28"/>
              </w:rPr>
              <w:t>sciences</w:t>
            </w:r>
            <w:r w:rsidRPr="00AB6972">
              <w:rPr>
                <w:sz w:val="28"/>
                <w:szCs w:val="28"/>
              </w:rPr>
              <w:t xml:space="preserve"> </w:t>
            </w:r>
            <w:r w:rsidRPr="0024372C">
              <w:rPr>
                <w:b/>
                <w:bCs/>
                <w:sz w:val="28"/>
                <w:szCs w:val="28"/>
              </w:rPr>
              <w:t>de la nature.</w:t>
            </w:r>
          </w:p>
        </w:tc>
      </w:tr>
    </w:tbl>
    <w:p w:rsidR="007E0AF0" w:rsidRPr="00AB6972" w:rsidRDefault="007E0AF0" w:rsidP="007E0AF0">
      <w:pPr>
        <w:pStyle w:val="Paragraphedeliste"/>
        <w:rPr>
          <w:b/>
          <w:bCs/>
          <w:sz w:val="28"/>
          <w:szCs w:val="28"/>
        </w:rPr>
      </w:pPr>
      <w:r w:rsidRPr="00AB6972">
        <w:rPr>
          <w:b/>
          <w:bCs/>
          <w:sz w:val="28"/>
          <w:szCs w:val="28"/>
        </w:rPr>
        <w:t>Dictionnaires de référence</w:t>
      </w:r>
    </w:p>
    <w:p w:rsidR="007E0AF0" w:rsidRPr="00AB6972" w:rsidRDefault="007E0AF0" w:rsidP="007E0AF0">
      <w:pPr>
        <w:pStyle w:val="Paragraphedeliste"/>
        <w:numPr>
          <w:ilvl w:val="0"/>
          <w:numId w:val="1"/>
        </w:numPr>
        <w:rPr>
          <w:sz w:val="28"/>
          <w:szCs w:val="28"/>
        </w:rPr>
      </w:pPr>
      <w:r w:rsidRPr="00AB6972">
        <w:rPr>
          <w:sz w:val="28"/>
          <w:szCs w:val="28"/>
        </w:rPr>
        <w:t>André Lalande, </w:t>
      </w:r>
      <w:r w:rsidRPr="00AB6972">
        <w:rPr>
          <w:i/>
          <w:iCs/>
          <w:sz w:val="28"/>
          <w:szCs w:val="28"/>
        </w:rPr>
        <w:t>Vocabulaire technique et critique de la philosophie</w:t>
      </w:r>
      <w:r w:rsidRPr="00AB6972">
        <w:rPr>
          <w:sz w:val="28"/>
          <w:szCs w:val="28"/>
        </w:rPr>
        <w:t>. P.U.F.</w:t>
      </w:r>
    </w:p>
    <w:p w:rsidR="007E0AF0" w:rsidRPr="007E0AF0" w:rsidRDefault="007E0AF0" w:rsidP="007E0AF0">
      <w:pPr>
        <w:pStyle w:val="Paragraphedeliste"/>
        <w:numPr>
          <w:ilvl w:val="0"/>
          <w:numId w:val="1"/>
        </w:numPr>
        <w:rPr>
          <w:sz w:val="28"/>
          <w:szCs w:val="28"/>
        </w:rPr>
      </w:pPr>
      <w:r w:rsidRPr="00AB6972">
        <w:rPr>
          <w:sz w:val="28"/>
          <w:szCs w:val="28"/>
        </w:rPr>
        <w:t>Sylvain Auroux et Yvonne Weil, </w:t>
      </w:r>
      <w:r w:rsidRPr="00AB6972">
        <w:rPr>
          <w:i/>
          <w:iCs/>
          <w:sz w:val="28"/>
          <w:szCs w:val="28"/>
        </w:rPr>
        <w:t>Nouveau vocabulaire des études philosophiques. Hachette.</w:t>
      </w:r>
      <w:r w:rsidRPr="0024372C">
        <w:rPr>
          <w:b/>
          <w:bCs/>
          <w:sz w:val="28"/>
          <w:szCs w:val="28"/>
        </w:rPr>
        <w:t xml:space="preserve"> </w:t>
      </w:r>
    </w:p>
    <w:p w:rsidR="007E0AF0" w:rsidRPr="0024372C" w:rsidRDefault="007E0AF0" w:rsidP="007E0AF0">
      <w:pPr>
        <w:pStyle w:val="Paragraphedeliste"/>
        <w:numPr>
          <w:ilvl w:val="0"/>
          <w:numId w:val="1"/>
        </w:numPr>
        <w:rPr>
          <w:sz w:val="28"/>
          <w:szCs w:val="28"/>
        </w:rPr>
      </w:pPr>
    </w:p>
    <w:p w:rsidR="007E0AF0" w:rsidRPr="007A63E2" w:rsidRDefault="007E0AF0" w:rsidP="007E0AF0">
      <w:pPr>
        <w:pStyle w:val="Paragraphedeliste"/>
        <w:numPr>
          <w:ilvl w:val="0"/>
          <w:numId w:val="2"/>
        </w:numPr>
        <w:jc w:val="both"/>
        <w:rPr>
          <w:b/>
          <w:bCs/>
          <w:sz w:val="28"/>
          <w:szCs w:val="28"/>
        </w:rPr>
      </w:pPr>
      <w:r w:rsidRPr="007A63E2">
        <w:rPr>
          <w:b/>
          <w:bCs/>
          <w:sz w:val="32"/>
          <w:szCs w:val="32"/>
        </w:rPr>
        <w:t>la connaissance</w:t>
      </w:r>
      <w:r w:rsidRPr="007A63E2">
        <w:rPr>
          <w:b/>
          <w:bCs/>
          <w:sz w:val="28"/>
          <w:szCs w:val="28"/>
        </w:rPr>
        <w:t xml:space="preserve"> </w:t>
      </w:r>
      <w:r w:rsidRPr="007A63E2">
        <w:rPr>
          <w:b/>
          <w:bCs/>
          <w:sz w:val="32"/>
          <w:szCs w:val="32"/>
        </w:rPr>
        <w:t>théorique</w:t>
      </w:r>
      <w:r w:rsidRPr="007A63E2">
        <w:rPr>
          <w:b/>
          <w:bCs/>
          <w:sz w:val="28"/>
          <w:szCs w:val="28"/>
        </w:rPr>
        <w:t> :</w:t>
      </w:r>
      <w:r w:rsidRPr="007A63E2">
        <w:rPr>
          <w:sz w:val="28"/>
          <w:szCs w:val="28"/>
        </w:rPr>
        <w:t xml:space="preserve"> Il s’agit de la connaissance qui utilise comme moyen un paradigme théorique par opposition à la connaissance empirique qui elle se limite à la description des faits</w:t>
      </w:r>
      <w:r>
        <w:rPr>
          <w:sz w:val="28"/>
          <w:szCs w:val="28"/>
        </w:rPr>
        <w:t>.</w:t>
      </w:r>
      <w:r w:rsidRPr="007A63E2">
        <w:rPr>
          <w:sz w:val="28"/>
          <w:szCs w:val="28"/>
        </w:rPr>
        <w:t xml:space="preserve"> </w:t>
      </w:r>
      <w:r w:rsidRPr="007A63E2">
        <w:rPr>
          <w:b/>
          <w:bCs/>
          <w:sz w:val="28"/>
          <w:szCs w:val="28"/>
        </w:rPr>
        <w:t>Théorie</w:t>
      </w:r>
      <w:r w:rsidRPr="007A63E2">
        <w:rPr>
          <w:sz w:val="28"/>
          <w:szCs w:val="28"/>
        </w:rPr>
        <w:t xml:space="preserve"> </w:t>
      </w:r>
      <w:r>
        <w:rPr>
          <w:sz w:val="28"/>
          <w:szCs w:val="28"/>
        </w:rPr>
        <w:t>avec un grand T comme</w:t>
      </w:r>
      <w:r w:rsidRPr="00E86856">
        <w:rPr>
          <w:sz w:val="28"/>
          <w:szCs w:val="28"/>
        </w:rPr>
        <w:t xml:space="preserve"> un singulier collectif, car dans les faits elle se décline en plusieurs théories pour le moins concurrentes : il s’agit du positivisme, du culturalisme, du marxisme, du structuralisme, de l’interactionnisme symbolique, etc.</w:t>
      </w:r>
    </w:p>
    <w:p w:rsidR="00C772A3" w:rsidRPr="00C772A3" w:rsidRDefault="00C772A3" w:rsidP="00C772A3">
      <w:pPr>
        <w:rPr>
          <w:rFonts w:asciiTheme="majorBidi" w:hAnsiTheme="majorBidi" w:cstheme="majorBidi"/>
          <w:sz w:val="28"/>
          <w:szCs w:val="28"/>
        </w:rPr>
      </w:pPr>
    </w:p>
    <w:sectPr w:rsidR="00C772A3" w:rsidRPr="00C772A3" w:rsidSect="006E73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7296D"/>
    <w:multiLevelType w:val="hybridMultilevel"/>
    <w:tmpl w:val="272C4B4C"/>
    <w:lvl w:ilvl="0" w:tplc="8FFAFC2E">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5CB30B3"/>
    <w:multiLevelType w:val="multilevel"/>
    <w:tmpl w:val="2166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72A3"/>
    <w:rsid w:val="006E73E6"/>
    <w:rsid w:val="007E0AF0"/>
    <w:rsid w:val="0091547F"/>
    <w:rsid w:val="00C772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0AF0"/>
    <w:pPr>
      <w:ind w:left="720"/>
      <w:contextualSpacing/>
    </w:pPr>
    <w:rPr>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797</Words>
  <Characters>4385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2020-04-20T17:12:00Z</dcterms:created>
  <dcterms:modified xsi:type="dcterms:W3CDTF">2020-04-20T17:30:00Z</dcterms:modified>
</cp:coreProperties>
</file>