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BF7" w:rsidRDefault="00F66BF7" w:rsidP="002C3D54">
      <w:pPr>
        <w:bidi/>
        <w:jc w:val="center"/>
        <w:rPr>
          <w:color w:val="0070C0"/>
          <w:sz w:val="72"/>
          <w:szCs w:val="72"/>
          <w:rtl/>
          <w:lang w:bidi="ar-DZ"/>
        </w:rPr>
      </w:pPr>
      <w:proofErr w:type="gramStart"/>
      <w:r>
        <w:rPr>
          <w:rFonts w:hint="cs"/>
          <w:color w:val="0070C0"/>
          <w:sz w:val="72"/>
          <w:szCs w:val="72"/>
          <w:rtl/>
          <w:lang w:bidi="ar-DZ"/>
        </w:rPr>
        <w:t>النقد</w:t>
      </w:r>
      <w:proofErr w:type="gramEnd"/>
      <w:r>
        <w:rPr>
          <w:rFonts w:hint="cs"/>
          <w:color w:val="0070C0"/>
          <w:sz w:val="72"/>
          <w:szCs w:val="72"/>
          <w:rtl/>
          <w:lang w:bidi="ar-DZ"/>
        </w:rPr>
        <w:t xml:space="preserve"> الثقافي</w:t>
      </w:r>
    </w:p>
    <w:p w:rsidR="00F66BF7" w:rsidRDefault="00F66BF7" w:rsidP="002C3D54">
      <w:pPr>
        <w:bidi/>
        <w:jc w:val="center"/>
        <w:rPr>
          <w:color w:val="943634" w:themeColor="accent2" w:themeShade="BF"/>
          <w:sz w:val="72"/>
          <w:szCs w:val="72"/>
          <w:rtl/>
          <w:lang w:bidi="ar-DZ"/>
        </w:rPr>
      </w:pPr>
      <w:r>
        <w:rPr>
          <w:rFonts w:hint="cs"/>
          <w:color w:val="943634" w:themeColor="accent2" w:themeShade="BF"/>
          <w:sz w:val="72"/>
          <w:szCs w:val="72"/>
          <w:rtl/>
          <w:lang w:bidi="ar-DZ"/>
        </w:rPr>
        <w:t>السداسي السادس تخصص نقد و مناهج</w:t>
      </w:r>
    </w:p>
    <w:p w:rsidR="004059D0" w:rsidRDefault="00F66BF7" w:rsidP="002C3D54">
      <w:pPr>
        <w:bidi/>
        <w:jc w:val="center"/>
        <w:rPr>
          <w:color w:val="262626" w:themeColor="text1" w:themeTint="D9"/>
          <w:sz w:val="72"/>
          <w:szCs w:val="72"/>
          <w:lang w:bidi="ar-DZ"/>
        </w:rPr>
      </w:pPr>
      <w:r>
        <w:rPr>
          <w:rFonts w:hint="cs"/>
          <w:color w:val="262626" w:themeColor="text1" w:themeTint="D9"/>
          <w:sz w:val="72"/>
          <w:szCs w:val="72"/>
          <w:rtl/>
          <w:lang w:bidi="ar-DZ"/>
        </w:rPr>
        <w:t>المحاضرة الثانية</w:t>
      </w:r>
      <w:r>
        <w:rPr>
          <w:color w:val="262626" w:themeColor="text1" w:themeTint="D9"/>
          <w:sz w:val="72"/>
          <w:szCs w:val="72"/>
          <w:lang w:bidi="ar-DZ"/>
        </w:rPr>
        <w:t xml:space="preserve"> )</w:t>
      </w:r>
      <w:r>
        <w:rPr>
          <w:rFonts w:hint="cs"/>
          <w:color w:val="262626" w:themeColor="text1" w:themeTint="D9"/>
          <w:sz w:val="72"/>
          <w:szCs w:val="72"/>
          <w:rtl/>
          <w:lang w:bidi="ar-DZ"/>
        </w:rPr>
        <w:t>السادسة</w:t>
      </w:r>
      <w:r>
        <w:rPr>
          <w:color w:val="262626" w:themeColor="text1" w:themeTint="D9"/>
          <w:sz w:val="72"/>
          <w:szCs w:val="72"/>
          <w:lang w:bidi="ar-DZ"/>
        </w:rPr>
        <w:t>(</w:t>
      </w:r>
    </w:p>
    <w:p w:rsidR="00F66BF7" w:rsidRDefault="00F66BF7" w:rsidP="002C3D54">
      <w:pPr>
        <w:bidi/>
        <w:jc w:val="center"/>
        <w:rPr>
          <w:rFonts w:hint="cs"/>
          <w:color w:val="E36C0A" w:themeColor="accent6" w:themeShade="BF"/>
          <w:sz w:val="72"/>
          <w:szCs w:val="72"/>
          <w:rtl/>
          <w:lang w:bidi="ar-DZ"/>
        </w:rPr>
      </w:pPr>
      <w:r>
        <w:rPr>
          <w:rFonts w:hint="cs"/>
          <w:color w:val="E36C0A" w:themeColor="accent6" w:themeShade="BF"/>
          <w:sz w:val="72"/>
          <w:szCs w:val="72"/>
          <w:rtl/>
          <w:lang w:bidi="ar-DZ"/>
        </w:rPr>
        <w:t xml:space="preserve">قراءة في كتاب النقد الثقافي </w:t>
      </w:r>
      <w:proofErr w:type="spellStart"/>
      <w:r>
        <w:rPr>
          <w:rFonts w:hint="cs"/>
          <w:color w:val="E36C0A" w:themeColor="accent6" w:themeShade="BF"/>
          <w:sz w:val="72"/>
          <w:szCs w:val="72"/>
          <w:rtl/>
          <w:lang w:bidi="ar-DZ"/>
        </w:rPr>
        <w:t>للغذامي</w:t>
      </w:r>
      <w:proofErr w:type="spellEnd"/>
    </w:p>
    <w:p w:rsidR="00F66BF7" w:rsidRDefault="00F66BF7" w:rsidP="00F66BF7">
      <w:pPr>
        <w:bidi/>
        <w:jc w:val="lowKashida"/>
        <w:rPr>
          <w:rFonts w:hint="cs"/>
          <w:color w:val="E36C0A" w:themeColor="accent6" w:themeShade="BF"/>
          <w:sz w:val="72"/>
          <w:szCs w:val="72"/>
          <w:rtl/>
          <w:lang w:bidi="ar-DZ"/>
        </w:rPr>
      </w:pPr>
    </w:p>
    <w:p w:rsidR="00F66BF7" w:rsidRDefault="00F66BF7" w:rsidP="00F66BF7">
      <w:pPr>
        <w:bidi/>
        <w:jc w:val="lowKashida"/>
        <w:rPr>
          <w:rFonts w:hint="cs"/>
          <w:color w:val="E36C0A" w:themeColor="accent6" w:themeShade="BF"/>
          <w:sz w:val="72"/>
          <w:szCs w:val="72"/>
          <w:rtl/>
          <w:lang w:bidi="ar-DZ"/>
        </w:rPr>
      </w:pPr>
    </w:p>
    <w:p w:rsidR="00F66BF7" w:rsidRDefault="00F66BF7" w:rsidP="00F66BF7">
      <w:pPr>
        <w:bidi/>
        <w:jc w:val="lowKashida"/>
        <w:rPr>
          <w:rFonts w:hint="cs"/>
          <w:color w:val="E36C0A" w:themeColor="accent6" w:themeShade="BF"/>
          <w:sz w:val="72"/>
          <w:szCs w:val="72"/>
          <w:rtl/>
          <w:lang w:bidi="ar-DZ"/>
        </w:rPr>
      </w:pPr>
    </w:p>
    <w:p w:rsidR="00F66BF7" w:rsidRDefault="00F66BF7" w:rsidP="00F66BF7">
      <w:pPr>
        <w:bidi/>
        <w:jc w:val="lowKashida"/>
        <w:rPr>
          <w:rFonts w:hint="cs"/>
          <w:color w:val="E36C0A" w:themeColor="accent6" w:themeShade="BF"/>
          <w:sz w:val="72"/>
          <w:szCs w:val="72"/>
          <w:rtl/>
          <w:lang w:bidi="ar-DZ"/>
        </w:rPr>
      </w:pPr>
    </w:p>
    <w:p w:rsidR="00F66BF7" w:rsidRDefault="00F66BF7" w:rsidP="00F66BF7">
      <w:pPr>
        <w:bidi/>
        <w:jc w:val="lowKashida"/>
        <w:rPr>
          <w:rFonts w:hint="cs"/>
          <w:color w:val="E36C0A" w:themeColor="accent6" w:themeShade="BF"/>
          <w:sz w:val="72"/>
          <w:szCs w:val="72"/>
          <w:rtl/>
          <w:lang w:bidi="ar-DZ"/>
        </w:rPr>
      </w:pPr>
    </w:p>
    <w:p w:rsidR="00F66BF7" w:rsidRDefault="00F66BF7" w:rsidP="00F66BF7">
      <w:pPr>
        <w:bidi/>
        <w:jc w:val="lowKashida"/>
        <w:rPr>
          <w:rFonts w:hint="cs"/>
          <w:color w:val="E36C0A" w:themeColor="accent6" w:themeShade="BF"/>
          <w:sz w:val="72"/>
          <w:szCs w:val="72"/>
          <w:rtl/>
          <w:lang w:bidi="ar-DZ"/>
        </w:rPr>
      </w:pPr>
    </w:p>
    <w:p w:rsidR="00F66BF7" w:rsidRDefault="00F66BF7" w:rsidP="00F66BF7">
      <w:pPr>
        <w:bidi/>
        <w:jc w:val="lowKashida"/>
        <w:rPr>
          <w:rFonts w:hint="cs"/>
          <w:color w:val="E36C0A" w:themeColor="accent6" w:themeShade="BF"/>
          <w:sz w:val="72"/>
          <w:szCs w:val="72"/>
          <w:rtl/>
          <w:lang w:bidi="ar-DZ"/>
        </w:rPr>
      </w:pPr>
    </w:p>
    <w:p w:rsidR="00F66BF7" w:rsidRDefault="00F66BF7" w:rsidP="00F66BF7">
      <w:pPr>
        <w:bidi/>
        <w:jc w:val="lowKashida"/>
        <w:rPr>
          <w:rFonts w:hint="cs"/>
          <w:color w:val="E36C0A" w:themeColor="accent6" w:themeShade="BF"/>
          <w:sz w:val="72"/>
          <w:szCs w:val="72"/>
          <w:rtl/>
          <w:lang w:bidi="ar-DZ"/>
        </w:rPr>
      </w:pPr>
    </w:p>
    <w:p w:rsidR="00F66BF7" w:rsidRDefault="00F66BF7" w:rsidP="00F66BF7">
      <w:pPr>
        <w:bidi/>
        <w:jc w:val="lowKashida"/>
        <w:rPr>
          <w:rStyle w:val="articletitle"/>
          <w:rFonts w:hint="cs"/>
          <w:b/>
          <w:bCs/>
          <w:color w:val="0070C0"/>
          <w:sz w:val="44"/>
          <w:szCs w:val="44"/>
          <w:rtl/>
        </w:rPr>
      </w:pPr>
      <w:r w:rsidRPr="00F66BF7">
        <w:rPr>
          <w:rStyle w:val="articletitle"/>
          <w:b/>
          <w:bCs/>
          <w:color w:val="0070C0"/>
          <w:sz w:val="44"/>
          <w:szCs w:val="44"/>
          <w:rtl/>
        </w:rPr>
        <w:lastRenderedPageBreak/>
        <w:t xml:space="preserve">لمحة عن كتاب "النقد </w:t>
      </w:r>
      <w:proofErr w:type="gramStart"/>
      <w:r w:rsidRPr="00F66BF7">
        <w:rPr>
          <w:rStyle w:val="articletitle"/>
          <w:b/>
          <w:bCs/>
          <w:color w:val="0070C0"/>
          <w:sz w:val="44"/>
          <w:szCs w:val="44"/>
          <w:rtl/>
        </w:rPr>
        <w:t>الثقافي :</w:t>
      </w:r>
      <w:proofErr w:type="gramEnd"/>
      <w:r w:rsidRPr="00F66BF7">
        <w:rPr>
          <w:rStyle w:val="articletitle"/>
          <w:b/>
          <w:bCs/>
          <w:color w:val="0070C0"/>
          <w:sz w:val="44"/>
          <w:szCs w:val="44"/>
          <w:rtl/>
        </w:rPr>
        <w:t xml:space="preserve"> قراءة الأنساق الثقافية العربية</w:t>
      </w:r>
      <w:r w:rsidRPr="00F66BF7">
        <w:rPr>
          <w:rStyle w:val="articletitle"/>
          <w:b/>
          <w:bCs/>
          <w:color w:val="0070C0"/>
          <w:sz w:val="44"/>
          <w:szCs w:val="44"/>
        </w:rPr>
        <w:t>"</w:t>
      </w:r>
    </w:p>
    <w:p w:rsidR="002C3D54" w:rsidRDefault="00F66BF7" w:rsidP="00F66BF7">
      <w:pPr>
        <w:bidi/>
        <w:jc w:val="lowKashida"/>
        <w:rPr>
          <w:rStyle w:val="articlecontent"/>
          <w:rFonts w:hint="cs"/>
          <w:sz w:val="44"/>
          <w:szCs w:val="44"/>
          <w:rtl/>
        </w:rPr>
      </w:pPr>
      <w:r w:rsidRPr="00F66BF7">
        <w:rPr>
          <w:rStyle w:val="articlecontent"/>
          <w:sz w:val="44"/>
          <w:szCs w:val="44"/>
          <w:rtl/>
        </w:rPr>
        <w:t>كتاب "النقد الثقافي وقراءة الأنساق الثقافية العربية"الذي صدر عن المركز الثقافي العربي</w:t>
      </w:r>
      <w:r w:rsidRPr="00F66BF7">
        <w:rPr>
          <w:rStyle w:val="articlecontent"/>
          <w:sz w:val="44"/>
          <w:szCs w:val="44"/>
        </w:rPr>
        <w:t xml:space="preserve">( </w:t>
      </w:r>
      <w:hyperlink r:id="rId4" w:history="1">
        <w:r w:rsidRPr="00F66BF7">
          <w:rPr>
            <w:rStyle w:val="Lienhypertexte"/>
            <w:sz w:val="44"/>
            <w:szCs w:val="44"/>
            <w:rtl/>
          </w:rPr>
          <w:t>الدار</w:t>
        </w:r>
      </w:hyperlink>
      <w:r w:rsidRPr="00F66BF7">
        <w:rPr>
          <w:rStyle w:val="articlecontent"/>
          <w:sz w:val="44"/>
          <w:szCs w:val="44"/>
        </w:rPr>
        <w:t xml:space="preserve"> </w:t>
      </w:r>
      <w:hyperlink r:id="rId5" w:history="1">
        <w:r w:rsidRPr="00F66BF7">
          <w:rPr>
            <w:rStyle w:val="Lienhypertexte"/>
            <w:sz w:val="44"/>
            <w:szCs w:val="44"/>
            <w:rtl/>
          </w:rPr>
          <w:t>البيضاء</w:t>
        </w:r>
      </w:hyperlink>
      <w:r w:rsidRPr="00F66BF7">
        <w:rPr>
          <w:rStyle w:val="articlecontent"/>
          <w:sz w:val="44"/>
          <w:szCs w:val="44"/>
        </w:rPr>
        <w:t>-</w:t>
      </w:r>
      <w:hyperlink r:id="rId6" w:history="1">
        <w:r w:rsidRPr="00F66BF7">
          <w:rPr>
            <w:rStyle w:val="Lienhypertexte"/>
            <w:sz w:val="44"/>
            <w:szCs w:val="44"/>
            <w:rtl/>
          </w:rPr>
          <w:t>بيروت</w:t>
        </w:r>
      </w:hyperlink>
      <w:r w:rsidRPr="00F66BF7">
        <w:rPr>
          <w:rStyle w:val="articlecontent"/>
          <w:sz w:val="44"/>
          <w:szCs w:val="44"/>
        </w:rPr>
        <w:t>)</w:t>
      </w:r>
      <w:r w:rsidRPr="00F66BF7">
        <w:rPr>
          <w:rStyle w:val="articlecontent"/>
          <w:sz w:val="44"/>
          <w:szCs w:val="44"/>
          <w:rtl/>
        </w:rPr>
        <w:t xml:space="preserve">، يحمل عنوانا مهما ومثير للتأمل والتفكير، فهو كما يقول صاحبه ليس القصد منه " هو إلغاء المنجز النقدي الأدبي و إنما الهدف هو تحويل الأداة النقدية من أداة في قراءة الجمالي الخالص ،وتبريره بغض النظر عن عيوبه </w:t>
      </w:r>
      <w:proofErr w:type="spellStart"/>
      <w:r w:rsidRPr="00F66BF7">
        <w:rPr>
          <w:rStyle w:val="articlecontent"/>
          <w:sz w:val="44"/>
          <w:szCs w:val="44"/>
          <w:rtl/>
        </w:rPr>
        <w:t>النسقية</w:t>
      </w:r>
      <w:proofErr w:type="spellEnd"/>
      <w:r w:rsidRPr="00F66BF7">
        <w:rPr>
          <w:rStyle w:val="articlecontent"/>
          <w:sz w:val="44"/>
          <w:szCs w:val="44"/>
          <w:rtl/>
        </w:rPr>
        <w:t xml:space="preserve"> إلى أداة في نقد الخطاب و كشف أنساقه، وهذا يقتضي إجراء تحويل في المنظومة المصطلحية."[1</w:t>
      </w:r>
      <w:r w:rsidRPr="00F66BF7">
        <w:rPr>
          <w:rStyle w:val="articlecontent"/>
          <w:sz w:val="44"/>
          <w:szCs w:val="44"/>
        </w:rPr>
        <w:t>]</w:t>
      </w:r>
      <w:r w:rsidRPr="00F66BF7">
        <w:rPr>
          <w:sz w:val="44"/>
          <w:szCs w:val="44"/>
        </w:rPr>
        <w:br/>
      </w:r>
      <w:proofErr w:type="gramStart"/>
      <w:r w:rsidRPr="00F66BF7">
        <w:rPr>
          <w:rStyle w:val="articlecontent"/>
          <w:sz w:val="44"/>
          <w:szCs w:val="44"/>
          <w:rtl/>
        </w:rPr>
        <w:t>فالنقد</w:t>
      </w:r>
      <w:proofErr w:type="gramEnd"/>
      <w:r w:rsidRPr="00F66BF7">
        <w:rPr>
          <w:rStyle w:val="articlecontent"/>
          <w:sz w:val="44"/>
          <w:szCs w:val="44"/>
          <w:rtl/>
        </w:rPr>
        <w:t xml:space="preserve"> الثقافي في هذا الإطار، لا يرفض الأنواع الأخرى من النقد و إنما يرفض هيمنتها منفردة، إذ يعني ذلك قصورا في الكشف عن الكثير من العلامات الدالة في سياق النصوص</w:t>
      </w:r>
      <w:r w:rsidRPr="00F66BF7">
        <w:rPr>
          <w:rStyle w:val="articlecontent"/>
          <w:sz w:val="44"/>
          <w:szCs w:val="44"/>
        </w:rPr>
        <w:t>.</w:t>
      </w:r>
      <w:r w:rsidRPr="00F66BF7">
        <w:rPr>
          <w:sz w:val="44"/>
          <w:szCs w:val="44"/>
        </w:rPr>
        <w:br/>
      </w:r>
      <w:r w:rsidRPr="00F66BF7">
        <w:rPr>
          <w:rStyle w:val="articlecontent"/>
          <w:sz w:val="44"/>
          <w:szCs w:val="44"/>
          <w:rtl/>
        </w:rPr>
        <w:t>ينقسم كتاب</w:t>
      </w:r>
      <w:r w:rsidRPr="00F66BF7">
        <w:rPr>
          <w:rStyle w:val="articlecontent"/>
          <w:sz w:val="44"/>
          <w:szCs w:val="44"/>
        </w:rPr>
        <w:t xml:space="preserve"> " </w:t>
      </w:r>
      <w:proofErr w:type="gramStart"/>
      <w:r w:rsidRPr="00F66BF7">
        <w:rPr>
          <w:rStyle w:val="articlecontent"/>
          <w:sz w:val="44"/>
          <w:szCs w:val="44"/>
          <w:rtl/>
        </w:rPr>
        <w:t>النقد</w:t>
      </w:r>
      <w:proofErr w:type="gramEnd"/>
      <w:r w:rsidRPr="00F66BF7">
        <w:rPr>
          <w:rStyle w:val="articlecontent"/>
          <w:sz w:val="44"/>
          <w:szCs w:val="44"/>
          <w:rtl/>
        </w:rPr>
        <w:t xml:space="preserve"> الثقافي وقراءة الأنساق الثقافية العربية " عبر 312 صفحة إلى سبعة فصول رئيسية بعد مقدمة د. عبد الله </w:t>
      </w:r>
      <w:proofErr w:type="spellStart"/>
      <w:r w:rsidRPr="00F66BF7">
        <w:rPr>
          <w:rStyle w:val="articlecontent"/>
          <w:sz w:val="44"/>
          <w:szCs w:val="44"/>
          <w:rtl/>
        </w:rPr>
        <w:t>الغذامي</w:t>
      </w:r>
      <w:proofErr w:type="spellEnd"/>
      <w:r w:rsidRPr="00F66BF7">
        <w:rPr>
          <w:rStyle w:val="articlecontent"/>
          <w:sz w:val="44"/>
          <w:szCs w:val="44"/>
          <w:rtl/>
        </w:rPr>
        <w:t xml:space="preserve"> وهذه الفصول هي</w:t>
      </w:r>
      <w:r w:rsidRPr="00F66BF7">
        <w:rPr>
          <w:rStyle w:val="articlecontent"/>
          <w:sz w:val="44"/>
          <w:szCs w:val="44"/>
        </w:rPr>
        <w:t>:</w:t>
      </w:r>
      <w:r w:rsidRPr="00F66BF7">
        <w:rPr>
          <w:sz w:val="44"/>
          <w:szCs w:val="44"/>
        </w:rPr>
        <w:br/>
      </w:r>
      <w:r w:rsidRPr="00F66BF7">
        <w:rPr>
          <w:sz w:val="44"/>
          <w:szCs w:val="44"/>
        </w:rPr>
        <w:br/>
      </w:r>
      <w:r w:rsidRPr="00F66BF7">
        <w:rPr>
          <w:sz w:val="44"/>
          <w:szCs w:val="44"/>
        </w:rPr>
        <w:br/>
      </w:r>
      <w:r w:rsidRPr="002C3D54">
        <w:rPr>
          <w:rStyle w:val="articlecontent"/>
          <w:b/>
          <w:bCs/>
          <w:sz w:val="44"/>
          <w:szCs w:val="44"/>
        </w:rPr>
        <w:t xml:space="preserve">* · </w:t>
      </w:r>
      <w:r w:rsidRPr="002C3D54">
        <w:rPr>
          <w:rStyle w:val="articlecontent"/>
          <w:b/>
          <w:bCs/>
          <w:sz w:val="44"/>
          <w:szCs w:val="44"/>
          <w:rtl/>
        </w:rPr>
        <w:t>في الفصل الأول :</w:t>
      </w:r>
      <w:r w:rsidRPr="00F66BF7">
        <w:rPr>
          <w:rStyle w:val="articlecontent"/>
          <w:sz w:val="44"/>
          <w:szCs w:val="44"/>
          <w:rtl/>
        </w:rPr>
        <w:t xml:space="preserve"> </w:t>
      </w:r>
    </w:p>
    <w:p w:rsidR="002C3D54" w:rsidRDefault="00F66BF7" w:rsidP="002C3D54">
      <w:pPr>
        <w:bidi/>
        <w:jc w:val="lowKashida"/>
        <w:rPr>
          <w:rStyle w:val="articlecontent"/>
          <w:rFonts w:hint="cs"/>
          <w:sz w:val="44"/>
          <w:szCs w:val="44"/>
          <w:rtl/>
        </w:rPr>
      </w:pPr>
      <w:r w:rsidRPr="00F66BF7">
        <w:rPr>
          <w:rStyle w:val="articlecontent"/>
          <w:sz w:val="44"/>
          <w:szCs w:val="44"/>
          <w:rtl/>
        </w:rPr>
        <w:t>النقد الثقافي / ذاكرة المصطلح</w:t>
      </w:r>
      <w:r w:rsidRPr="00F66BF7">
        <w:rPr>
          <w:sz w:val="44"/>
          <w:szCs w:val="44"/>
        </w:rPr>
        <w:br/>
      </w:r>
      <w:r w:rsidRPr="00F66BF7">
        <w:rPr>
          <w:rStyle w:val="articlecontent"/>
          <w:sz w:val="44"/>
          <w:szCs w:val="44"/>
          <w:rtl/>
        </w:rPr>
        <w:t xml:space="preserve">التأريخ لمصطلح النقد الثقافي في الفكر الغربي و أدبياته، و كيف بدأت الدراسات الثقافية بالتحليل الاجتماعي للظواهر </w:t>
      </w:r>
      <w:proofErr w:type="gramStart"/>
      <w:r w:rsidRPr="00F66BF7">
        <w:rPr>
          <w:rStyle w:val="articlecontent"/>
          <w:sz w:val="44"/>
          <w:szCs w:val="44"/>
          <w:rtl/>
        </w:rPr>
        <w:t>الثقافية ،</w:t>
      </w:r>
      <w:proofErr w:type="gramEnd"/>
      <w:r w:rsidRPr="00F66BF7">
        <w:rPr>
          <w:rStyle w:val="articlecontent"/>
          <w:sz w:val="44"/>
          <w:szCs w:val="44"/>
          <w:rtl/>
        </w:rPr>
        <w:t xml:space="preserve">ثم تطورت إلى نقد الثقافات الاستهلاكية، و المسيطرة على الجماهير بفعل تطور أدوات الاتصال، و الإعلام و قدرتها على الهيمنة على </w:t>
      </w:r>
      <w:proofErr w:type="gramStart"/>
      <w:r w:rsidRPr="00F66BF7">
        <w:rPr>
          <w:rStyle w:val="articlecontent"/>
          <w:sz w:val="44"/>
          <w:szCs w:val="44"/>
          <w:rtl/>
        </w:rPr>
        <w:lastRenderedPageBreak/>
        <w:t>البشر</w:t>
      </w:r>
      <w:proofErr w:type="gramEnd"/>
      <w:r w:rsidRPr="00F66BF7">
        <w:rPr>
          <w:rStyle w:val="articlecontent"/>
          <w:sz w:val="44"/>
          <w:szCs w:val="44"/>
          <w:rtl/>
        </w:rPr>
        <w:t>، و إعادة صياغة وعيهم عن العالم</w:t>
      </w:r>
      <w:r w:rsidRPr="00F66BF7">
        <w:rPr>
          <w:rStyle w:val="articlecontent"/>
          <w:sz w:val="44"/>
          <w:szCs w:val="44"/>
        </w:rPr>
        <w:t>.</w:t>
      </w:r>
      <w:r w:rsidRPr="00F66BF7">
        <w:rPr>
          <w:sz w:val="44"/>
          <w:szCs w:val="44"/>
        </w:rPr>
        <w:br/>
      </w:r>
      <w:r w:rsidRPr="00F66BF7">
        <w:rPr>
          <w:rStyle w:val="articlecontent"/>
          <w:sz w:val="44"/>
          <w:szCs w:val="44"/>
          <w:rtl/>
        </w:rPr>
        <w:t>استعراض آراء المفكرين الذين أسهموا في بناء نظرية النقد الثقافي مثل مدرسة فرانكفورت، و دورها في نقد الثقافة السائدة من خلال تحليل الظواهر الثقافية مثل التلفزيون و أثره</w:t>
      </w:r>
      <w:r w:rsidRPr="00F66BF7">
        <w:rPr>
          <w:rStyle w:val="articlecontent"/>
          <w:sz w:val="44"/>
          <w:szCs w:val="44"/>
        </w:rPr>
        <w:t>.</w:t>
      </w:r>
      <w:r w:rsidRPr="00F66BF7">
        <w:rPr>
          <w:sz w:val="44"/>
          <w:szCs w:val="44"/>
        </w:rPr>
        <w:br/>
      </w:r>
      <w:proofErr w:type="gramStart"/>
      <w:r w:rsidRPr="00F66BF7">
        <w:rPr>
          <w:rStyle w:val="articlecontent"/>
          <w:sz w:val="44"/>
          <w:szCs w:val="44"/>
          <w:rtl/>
        </w:rPr>
        <w:t>تبيان</w:t>
      </w:r>
      <w:proofErr w:type="gramEnd"/>
      <w:r w:rsidRPr="00F66BF7">
        <w:rPr>
          <w:rStyle w:val="articlecontent"/>
          <w:sz w:val="44"/>
          <w:szCs w:val="44"/>
          <w:rtl/>
        </w:rPr>
        <w:t xml:space="preserve"> أن النصوص سواء كانت شعرية أو أدبية لها طابع محدود في التأثير على المجتمع بالقياس للوسائل الأخرى في العصر الراهن</w:t>
      </w:r>
      <w:r w:rsidRPr="00F66BF7">
        <w:rPr>
          <w:rStyle w:val="articlecontent"/>
          <w:sz w:val="44"/>
          <w:szCs w:val="44"/>
        </w:rPr>
        <w:t>.</w:t>
      </w:r>
      <w:r w:rsidRPr="00F66BF7">
        <w:rPr>
          <w:sz w:val="44"/>
          <w:szCs w:val="44"/>
        </w:rPr>
        <w:br/>
      </w:r>
      <w:proofErr w:type="gramStart"/>
      <w:r w:rsidRPr="00F66BF7">
        <w:rPr>
          <w:rStyle w:val="articlecontent"/>
          <w:sz w:val="44"/>
          <w:szCs w:val="44"/>
          <w:rtl/>
        </w:rPr>
        <w:t>تبيان</w:t>
      </w:r>
      <w:proofErr w:type="gramEnd"/>
      <w:r w:rsidRPr="00F66BF7">
        <w:rPr>
          <w:rStyle w:val="articlecontent"/>
          <w:sz w:val="44"/>
          <w:szCs w:val="44"/>
          <w:rtl/>
        </w:rPr>
        <w:t xml:space="preserve"> تطور النقد الثقافي من نقد ثقافي إلى نقد المؤسسات التي تساهم في إنتاج الثقافة</w:t>
      </w:r>
      <w:r w:rsidRPr="00F66BF7">
        <w:rPr>
          <w:rStyle w:val="articlecontent"/>
          <w:sz w:val="44"/>
          <w:szCs w:val="44"/>
        </w:rPr>
        <w:t>.</w:t>
      </w:r>
      <w:r w:rsidRPr="00F66BF7">
        <w:rPr>
          <w:sz w:val="44"/>
          <w:szCs w:val="44"/>
        </w:rPr>
        <w:br/>
      </w:r>
      <w:r w:rsidRPr="00F66BF7">
        <w:rPr>
          <w:rStyle w:val="articlecontent"/>
          <w:sz w:val="44"/>
          <w:szCs w:val="44"/>
          <w:rtl/>
        </w:rPr>
        <w:t>الكشف عن التعددية في النقد الثقافي التي تنشا داخل المجتمع الواحد نتيجة لتعدد الأنساق الثقافية التي تحملها النصوص المتداخلة في نص الحياة اليومية، نجد على سبيل المثال: ثقافة التلفزيون مقابل الكتاب المقروء، وهناك ثقافات أخرى تتعدد بتعدد وسائل الاتصال داخل المجتمع الواحد</w:t>
      </w:r>
      <w:r w:rsidRPr="00F66BF7">
        <w:rPr>
          <w:rStyle w:val="articlecontent"/>
          <w:sz w:val="44"/>
          <w:szCs w:val="44"/>
        </w:rPr>
        <w:t>.</w:t>
      </w:r>
      <w:r w:rsidRPr="00F66BF7">
        <w:rPr>
          <w:sz w:val="44"/>
          <w:szCs w:val="44"/>
        </w:rPr>
        <w:br/>
      </w:r>
      <w:r w:rsidRPr="00F66BF7">
        <w:rPr>
          <w:rStyle w:val="articlecontent"/>
          <w:sz w:val="44"/>
          <w:szCs w:val="44"/>
          <w:rtl/>
        </w:rPr>
        <w:t>إبراز تطور الناقد الأدبي ليصبح الناقد المدني الذي يرى في النصوص الأدبية وغير الأدبية تعبيرا عن التيارات المختلفة في الواقع اليومي، من خلال الربط بين النصوص، و الأنساق الثقافية العربية، و هنا يتحول الناقد إلى مفكر سياسي مهموم بقضايا وطنه، و لديه آمال تجاوز المجتمع لعثراته</w:t>
      </w:r>
      <w:r w:rsidRPr="00F66BF7">
        <w:rPr>
          <w:rStyle w:val="articlecontent"/>
          <w:sz w:val="44"/>
          <w:szCs w:val="44"/>
        </w:rPr>
        <w:t>.</w:t>
      </w:r>
      <w:r w:rsidRPr="00F66BF7">
        <w:rPr>
          <w:sz w:val="44"/>
          <w:szCs w:val="44"/>
        </w:rPr>
        <w:br/>
      </w:r>
      <w:r w:rsidRPr="002C3D54">
        <w:rPr>
          <w:rStyle w:val="articlecontent"/>
          <w:b/>
          <w:bCs/>
          <w:sz w:val="44"/>
          <w:szCs w:val="44"/>
        </w:rPr>
        <w:t xml:space="preserve">* · </w:t>
      </w:r>
      <w:r w:rsidRPr="002C3D54">
        <w:rPr>
          <w:rStyle w:val="articlecontent"/>
          <w:b/>
          <w:bCs/>
          <w:sz w:val="44"/>
          <w:szCs w:val="44"/>
          <w:rtl/>
        </w:rPr>
        <w:t>الفصل الثاني:</w:t>
      </w:r>
      <w:r w:rsidRPr="00F66BF7">
        <w:rPr>
          <w:rStyle w:val="articlecontent"/>
          <w:sz w:val="44"/>
          <w:szCs w:val="44"/>
          <w:rtl/>
        </w:rPr>
        <w:t xml:space="preserve"> </w:t>
      </w:r>
    </w:p>
    <w:p w:rsidR="002C3D54" w:rsidRDefault="00F66BF7" w:rsidP="002C3D54">
      <w:pPr>
        <w:bidi/>
        <w:rPr>
          <w:rStyle w:val="articlecontent"/>
          <w:rFonts w:hint="cs"/>
          <w:sz w:val="44"/>
          <w:szCs w:val="44"/>
          <w:rtl/>
        </w:rPr>
      </w:pPr>
      <w:proofErr w:type="gramStart"/>
      <w:r w:rsidRPr="00F66BF7">
        <w:rPr>
          <w:rStyle w:val="articlecontent"/>
          <w:sz w:val="44"/>
          <w:szCs w:val="44"/>
          <w:rtl/>
        </w:rPr>
        <w:t>النقد</w:t>
      </w:r>
      <w:proofErr w:type="gramEnd"/>
      <w:r w:rsidRPr="00F66BF7">
        <w:rPr>
          <w:rStyle w:val="articlecontent"/>
          <w:sz w:val="44"/>
          <w:szCs w:val="44"/>
          <w:rtl/>
        </w:rPr>
        <w:t xml:space="preserve"> الثقافي /النظرية و المنهج</w:t>
      </w:r>
      <w:r w:rsidRPr="00F66BF7">
        <w:rPr>
          <w:sz w:val="44"/>
          <w:szCs w:val="44"/>
        </w:rPr>
        <w:br/>
      </w:r>
      <w:r w:rsidRPr="00F66BF7">
        <w:rPr>
          <w:rStyle w:val="articlecontent"/>
          <w:sz w:val="44"/>
          <w:szCs w:val="44"/>
          <w:rtl/>
        </w:rPr>
        <w:t xml:space="preserve">حاول أن يؤسس للمفهوم أولا ، معتبرا أن التعريف المؤسساتي للنقد الثقافي الأدبي غير مجد، وهو تعريف يركز على أن الأدبي </w:t>
      </w:r>
      <w:r w:rsidRPr="00F66BF7">
        <w:rPr>
          <w:rStyle w:val="articlecontent"/>
          <w:sz w:val="44"/>
          <w:szCs w:val="44"/>
          <w:rtl/>
        </w:rPr>
        <w:lastRenderedPageBreak/>
        <w:t xml:space="preserve">هو الخطاب الذي قررته المؤسسة الثقافية حسب ما توارثته من مواصفات بلاغية، و جمالية قديمة، و حديثة، و هذا التصنيف في نظره يميز بين الأدب ما هو رديء ،وما هو جيد وما هو راق، وما دون الراقي ، لذلك يعتبر أن عمله إعمالا لا يتسمى بالأدبي و تخذ له صفة أخرى هي الثقافي . </w:t>
      </w:r>
      <w:proofErr w:type="gramStart"/>
      <w:r w:rsidRPr="00F66BF7">
        <w:rPr>
          <w:rStyle w:val="articlecontent"/>
          <w:sz w:val="44"/>
          <w:szCs w:val="44"/>
          <w:rtl/>
        </w:rPr>
        <w:t>متسائلا :</w:t>
      </w:r>
      <w:proofErr w:type="gramEnd"/>
      <w:r w:rsidRPr="00F66BF7">
        <w:rPr>
          <w:rStyle w:val="articlecontent"/>
          <w:sz w:val="44"/>
          <w:szCs w:val="44"/>
          <w:rtl/>
        </w:rPr>
        <w:t>كيف يمكننا إحداث تحويل نقلة نوعية للفعل النقدي من النقد الأدبي إلى النقد الثقافي....؟</w:t>
      </w:r>
      <w:r w:rsidRPr="00F66BF7">
        <w:rPr>
          <w:sz w:val="44"/>
          <w:szCs w:val="44"/>
        </w:rPr>
        <w:br/>
      </w:r>
      <w:r w:rsidRPr="00F66BF7">
        <w:rPr>
          <w:rStyle w:val="articlecontent"/>
          <w:sz w:val="44"/>
          <w:szCs w:val="44"/>
          <w:rtl/>
        </w:rPr>
        <w:t>وفي هذ</w:t>
      </w:r>
      <w:proofErr w:type="gramStart"/>
      <w:r w:rsidRPr="00F66BF7">
        <w:rPr>
          <w:rStyle w:val="articlecontent"/>
          <w:sz w:val="44"/>
          <w:szCs w:val="44"/>
          <w:rtl/>
        </w:rPr>
        <w:t>ا الإطار</w:t>
      </w:r>
      <w:proofErr w:type="gramEnd"/>
      <w:r w:rsidRPr="00F66BF7">
        <w:rPr>
          <w:rStyle w:val="articlecontent"/>
          <w:sz w:val="44"/>
          <w:szCs w:val="44"/>
          <w:rtl/>
        </w:rPr>
        <w:t xml:space="preserve"> ، يبرز أن هذه النقلة تحتاج إلى عدد من العمليات الإجرائية هي</w:t>
      </w:r>
      <w:r w:rsidRPr="00F66BF7">
        <w:rPr>
          <w:rStyle w:val="articlecontent"/>
          <w:sz w:val="44"/>
          <w:szCs w:val="44"/>
        </w:rPr>
        <w:t xml:space="preserve"> :</w:t>
      </w:r>
      <w:r w:rsidRPr="00F66BF7">
        <w:rPr>
          <w:sz w:val="44"/>
          <w:szCs w:val="44"/>
        </w:rPr>
        <w:br/>
      </w:r>
      <w:r w:rsidRPr="00F66BF7">
        <w:rPr>
          <w:rStyle w:val="articlecontent"/>
          <w:sz w:val="44"/>
          <w:szCs w:val="44"/>
        </w:rPr>
        <w:t xml:space="preserve">1. </w:t>
      </w:r>
      <w:r w:rsidRPr="00F66BF7">
        <w:rPr>
          <w:rStyle w:val="articlecontent"/>
          <w:sz w:val="44"/>
          <w:szCs w:val="44"/>
          <w:rtl/>
        </w:rPr>
        <w:t xml:space="preserve">نقلة في المصطلح النقدي </w:t>
      </w:r>
      <w:proofErr w:type="gramStart"/>
      <w:r w:rsidRPr="00F66BF7">
        <w:rPr>
          <w:rStyle w:val="articlecontent"/>
          <w:sz w:val="44"/>
          <w:szCs w:val="44"/>
          <w:rtl/>
        </w:rPr>
        <w:t>ذاته</w:t>
      </w:r>
      <w:proofErr w:type="gramEnd"/>
      <w:r w:rsidRPr="00F66BF7">
        <w:rPr>
          <w:rStyle w:val="articlecontent"/>
          <w:sz w:val="44"/>
          <w:szCs w:val="44"/>
        </w:rPr>
        <w:t>.</w:t>
      </w:r>
      <w:r w:rsidRPr="00F66BF7">
        <w:rPr>
          <w:sz w:val="44"/>
          <w:szCs w:val="44"/>
        </w:rPr>
        <w:br/>
      </w:r>
      <w:r w:rsidRPr="00F66BF7">
        <w:rPr>
          <w:rStyle w:val="articlecontent"/>
          <w:sz w:val="44"/>
          <w:szCs w:val="44"/>
        </w:rPr>
        <w:t xml:space="preserve">2. </w:t>
      </w:r>
      <w:r w:rsidRPr="00F66BF7">
        <w:rPr>
          <w:rStyle w:val="articlecontent"/>
          <w:sz w:val="44"/>
          <w:szCs w:val="44"/>
          <w:rtl/>
        </w:rPr>
        <w:t>نقلة في المفهوم (</w:t>
      </w:r>
      <w:proofErr w:type="gramStart"/>
      <w:r w:rsidRPr="00F66BF7">
        <w:rPr>
          <w:rStyle w:val="articlecontent"/>
          <w:sz w:val="44"/>
          <w:szCs w:val="44"/>
          <w:rtl/>
        </w:rPr>
        <w:t>النسق</w:t>
      </w:r>
      <w:r w:rsidR="002C3D54">
        <w:rPr>
          <w:rStyle w:val="articlecontent"/>
          <w:sz w:val="44"/>
          <w:szCs w:val="44"/>
        </w:rPr>
        <w:t>(</w:t>
      </w:r>
      <w:proofErr w:type="gramEnd"/>
      <w:r w:rsidRPr="00F66BF7">
        <w:rPr>
          <w:sz w:val="44"/>
          <w:szCs w:val="44"/>
        </w:rPr>
        <w:br/>
      </w:r>
      <w:r w:rsidRPr="00F66BF7">
        <w:rPr>
          <w:rStyle w:val="articlecontent"/>
          <w:sz w:val="44"/>
          <w:szCs w:val="44"/>
        </w:rPr>
        <w:t xml:space="preserve">3. </w:t>
      </w:r>
      <w:r w:rsidRPr="00F66BF7">
        <w:rPr>
          <w:rStyle w:val="articlecontent"/>
          <w:sz w:val="44"/>
          <w:szCs w:val="44"/>
          <w:rtl/>
        </w:rPr>
        <w:t>نقلة في الوظيفة</w:t>
      </w:r>
      <w:r w:rsidRPr="00F66BF7">
        <w:rPr>
          <w:rStyle w:val="articlecontent"/>
          <w:sz w:val="44"/>
          <w:szCs w:val="44"/>
        </w:rPr>
        <w:t>.</w:t>
      </w:r>
      <w:r w:rsidRPr="00F66BF7">
        <w:rPr>
          <w:sz w:val="44"/>
          <w:szCs w:val="44"/>
        </w:rPr>
        <w:br/>
      </w:r>
      <w:r w:rsidRPr="00F66BF7">
        <w:rPr>
          <w:rStyle w:val="articlecontent"/>
          <w:sz w:val="44"/>
          <w:szCs w:val="44"/>
        </w:rPr>
        <w:t xml:space="preserve">4. </w:t>
      </w:r>
      <w:r w:rsidRPr="00F66BF7">
        <w:rPr>
          <w:rStyle w:val="articlecontent"/>
          <w:sz w:val="44"/>
          <w:szCs w:val="44"/>
          <w:rtl/>
        </w:rPr>
        <w:t>نقلة في التطبيق</w:t>
      </w:r>
      <w:r w:rsidRPr="00F66BF7">
        <w:rPr>
          <w:rStyle w:val="articlecontent"/>
          <w:sz w:val="44"/>
          <w:szCs w:val="44"/>
        </w:rPr>
        <w:t>.</w:t>
      </w:r>
      <w:r w:rsidRPr="00F66BF7">
        <w:rPr>
          <w:sz w:val="44"/>
          <w:szCs w:val="44"/>
        </w:rPr>
        <w:br/>
      </w:r>
      <w:r w:rsidRPr="00F66BF7">
        <w:rPr>
          <w:rStyle w:val="articlecontent"/>
          <w:sz w:val="44"/>
          <w:szCs w:val="44"/>
          <w:rtl/>
        </w:rPr>
        <w:t>تتمثل هذه النقلة على مستوى المصطلح النقدي في ذاته في ستة أساسيات، تتركز أساسا على نقد العمليات النقدية، و المفاهيم السائدة في النقد الأدبي في تجاوزها ،و تطوير بعضها ، وهذه الأساسيات هي</w:t>
      </w:r>
      <w:r w:rsidRPr="00F66BF7">
        <w:rPr>
          <w:rStyle w:val="articlecontent"/>
          <w:sz w:val="44"/>
          <w:szCs w:val="44"/>
        </w:rPr>
        <w:t>:</w:t>
      </w:r>
      <w:r w:rsidRPr="00F66BF7">
        <w:rPr>
          <w:sz w:val="44"/>
          <w:szCs w:val="44"/>
        </w:rPr>
        <w:br/>
      </w:r>
      <w:r w:rsidRPr="00F66BF7">
        <w:rPr>
          <w:rStyle w:val="articlecontent"/>
          <w:sz w:val="44"/>
          <w:szCs w:val="44"/>
        </w:rPr>
        <w:t xml:space="preserve">* </w:t>
      </w:r>
      <w:r w:rsidR="002C3D54">
        <w:rPr>
          <w:rStyle w:val="articlecontent"/>
          <w:sz w:val="44"/>
          <w:szCs w:val="44"/>
          <w:rtl/>
        </w:rPr>
        <w:t xml:space="preserve">عناصر </w:t>
      </w:r>
      <w:proofErr w:type="spellStart"/>
      <w:r w:rsidR="002C3D54">
        <w:rPr>
          <w:rStyle w:val="articlecontent"/>
          <w:sz w:val="44"/>
          <w:szCs w:val="44"/>
          <w:rtl/>
        </w:rPr>
        <w:t>الرسال</w:t>
      </w:r>
      <w:proofErr w:type="spellEnd"/>
      <w:r w:rsidR="002C3D54">
        <w:rPr>
          <w:rStyle w:val="articlecontent"/>
          <w:rFonts w:hint="cs"/>
          <w:sz w:val="44"/>
          <w:szCs w:val="44"/>
          <w:rtl/>
          <w:lang w:bidi="ar-DZ"/>
        </w:rPr>
        <w:t>ة</w:t>
      </w:r>
      <w:r w:rsidR="002C3D54">
        <w:rPr>
          <w:rStyle w:val="articlecontent"/>
          <w:rFonts w:hint="cs"/>
          <w:sz w:val="44"/>
          <w:szCs w:val="44"/>
          <w:rtl/>
        </w:rPr>
        <w:t>(</w:t>
      </w:r>
      <w:r w:rsidRPr="00F66BF7">
        <w:rPr>
          <w:rStyle w:val="articlecontent"/>
          <w:sz w:val="44"/>
          <w:szCs w:val="44"/>
          <w:rtl/>
        </w:rPr>
        <w:t xml:space="preserve">الوظيفة </w:t>
      </w:r>
      <w:proofErr w:type="spellStart"/>
      <w:r w:rsidRPr="00F66BF7">
        <w:rPr>
          <w:rStyle w:val="articlecontent"/>
          <w:sz w:val="44"/>
          <w:szCs w:val="44"/>
          <w:rtl/>
        </w:rPr>
        <w:t>النسقية</w:t>
      </w:r>
      <w:proofErr w:type="spellEnd"/>
      <w:r w:rsidR="002C3D54">
        <w:rPr>
          <w:rStyle w:val="articlecontent"/>
          <w:sz w:val="44"/>
          <w:szCs w:val="44"/>
        </w:rPr>
        <w:t>(</w:t>
      </w:r>
      <w:r w:rsidRPr="00F66BF7">
        <w:rPr>
          <w:sz w:val="44"/>
          <w:szCs w:val="44"/>
        </w:rPr>
        <w:br/>
      </w:r>
      <w:r w:rsidRPr="00F66BF7">
        <w:rPr>
          <w:rStyle w:val="articlecontent"/>
          <w:sz w:val="44"/>
          <w:szCs w:val="44"/>
        </w:rPr>
        <w:t xml:space="preserve">* </w:t>
      </w:r>
      <w:r w:rsidRPr="00F66BF7">
        <w:rPr>
          <w:rStyle w:val="articlecontent"/>
          <w:sz w:val="44"/>
          <w:szCs w:val="44"/>
          <w:rtl/>
        </w:rPr>
        <w:t>المجاز الكلي</w:t>
      </w:r>
      <w:r w:rsidRPr="00F66BF7">
        <w:rPr>
          <w:sz w:val="44"/>
          <w:szCs w:val="44"/>
        </w:rPr>
        <w:br/>
      </w:r>
      <w:r w:rsidRPr="00F66BF7">
        <w:rPr>
          <w:rStyle w:val="articlecontent"/>
          <w:sz w:val="44"/>
          <w:szCs w:val="44"/>
        </w:rPr>
        <w:t xml:space="preserve">* </w:t>
      </w:r>
      <w:r w:rsidRPr="00F66BF7">
        <w:rPr>
          <w:rStyle w:val="articlecontent"/>
          <w:sz w:val="44"/>
          <w:szCs w:val="44"/>
          <w:rtl/>
        </w:rPr>
        <w:t>التورية الثقافية</w:t>
      </w:r>
      <w:r w:rsidRPr="00F66BF7">
        <w:rPr>
          <w:sz w:val="44"/>
          <w:szCs w:val="44"/>
        </w:rPr>
        <w:br/>
      </w:r>
      <w:r w:rsidRPr="00F66BF7">
        <w:rPr>
          <w:rStyle w:val="articlecontent"/>
          <w:sz w:val="44"/>
          <w:szCs w:val="44"/>
        </w:rPr>
        <w:t xml:space="preserve">* </w:t>
      </w:r>
      <w:r w:rsidRPr="00F66BF7">
        <w:rPr>
          <w:rStyle w:val="articlecontent"/>
          <w:sz w:val="44"/>
          <w:szCs w:val="44"/>
          <w:rtl/>
        </w:rPr>
        <w:t>نوع الدلالة</w:t>
      </w:r>
      <w:r w:rsidRPr="00F66BF7">
        <w:rPr>
          <w:sz w:val="44"/>
          <w:szCs w:val="44"/>
        </w:rPr>
        <w:br/>
      </w:r>
      <w:r w:rsidRPr="00F66BF7">
        <w:rPr>
          <w:rStyle w:val="articlecontent"/>
          <w:sz w:val="44"/>
          <w:szCs w:val="44"/>
        </w:rPr>
        <w:t xml:space="preserve">* </w:t>
      </w:r>
      <w:r w:rsidRPr="00F66BF7">
        <w:rPr>
          <w:rStyle w:val="articlecontent"/>
          <w:sz w:val="44"/>
          <w:szCs w:val="44"/>
          <w:rtl/>
        </w:rPr>
        <w:t>الجملة النوعية</w:t>
      </w:r>
      <w:r w:rsidRPr="00F66BF7">
        <w:rPr>
          <w:sz w:val="44"/>
          <w:szCs w:val="44"/>
        </w:rPr>
        <w:br/>
      </w:r>
      <w:r w:rsidRPr="00F66BF7">
        <w:rPr>
          <w:rStyle w:val="articlecontent"/>
          <w:sz w:val="44"/>
          <w:szCs w:val="44"/>
        </w:rPr>
        <w:t xml:space="preserve">* </w:t>
      </w:r>
      <w:r w:rsidRPr="00F66BF7">
        <w:rPr>
          <w:rStyle w:val="articlecontent"/>
          <w:sz w:val="44"/>
          <w:szCs w:val="44"/>
          <w:rtl/>
        </w:rPr>
        <w:t>المؤلف المزدوج</w:t>
      </w:r>
      <w:r w:rsidRPr="00F66BF7">
        <w:rPr>
          <w:sz w:val="44"/>
          <w:szCs w:val="44"/>
        </w:rPr>
        <w:br/>
      </w:r>
      <w:r w:rsidRPr="00F66BF7">
        <w:rPr>
          <w:rStyle w:val="articlecontent"/>
          <w:sz w:val="44"/>
          <w:szCs w:val="44"/>
          <w:rtl/>
        </w:rPr>
        <w:lastRenderedPageBreak/>
        <w:t xml:space="preserve">و في ختام هذا الفصل، عمل على تحديد مفهوم النقد الثقافي بعد أن وضع نظرة موجزة عن سيرة هذا المفهوم، و يتمثل السؤال المحوري في مشروع </w:t>
      </w:r>
      <w:proofErr w:type="spellStart"/>
      <w:r w:rsidRPr="00F66BF7">
        <w:rPr>
          <w:rStyle w:val="articlecontent"/>
          <w:sz w:val="44"/>
          <w:szCs w:val="44"/>
          <w:rtl/>
        </w:rPr>
        <w:t>الغذامي</w:t>
      </w:r>
      <w:proofErr w:type="spellEnd"/>
      <w:r w:rsidRPr="00F66BF7">
        <w:rPr>
          <w:rStyle w:val="articlecontent"/>
          <w:sz w:val="44"/>
          <w:szCs w:val="44"/>
          <w:rtl/>
        </w:rPr>
        <w:t xml:space="preserve"> هل هناك في الأدب شيء آخر غير الأدبية؟</w:t>
      </w:r>
      <w:r w:rsidRPr="00F66BF7">
        <w:rPr>
          <w:sz w:val="44"/>
          <w:szCs w:val="44"/>
        </w:rPr>
        <w:br/>
      </w:r>
      <w:r w:rsidRPr="002C3D54">
        <w:rPr>
          <w:rStyle w:val="articlecontent"/>
          <w:b/>
          <w:bCs/>
          <w:sz w:val="44"/>
          <w:szCs w:val="44"/>
        </w:rPr>
        <w:t xml:space="preserve">* · </w:t>
      </w:r>
      <w:r w:rsidRPr="002C3D54">
        <w:rPr>
          <w:rStyle w:val="articlecontent"/>
          <w:b/>
          <w:bCs/>
          <w:sz w:val="44"/>
          <w:szCs w:val="44"/>
          <w:rtl/>
        </w:rPr>
        <w:t>الفصل الثالث</w:t>
      </w:r>
    </w:p>
    <w:p w:rsidR="002C3D54" w:rsidRDefault="00F66BF7" w:rsidP="002C3D54">
      <w:pPr>
        <w:bidi/>
        <w:rPr>
          <w:rStyle w:val="articlecontent"/>
          <w:rFonts w:hint="cs"/>
          <w:sz w:val="44"/>
          <w:szCs w:val="44"/>
          <w:rtl/>
        </w:rPr>
      </w:pPr>
      <w:r w:rsidRPr="00F66BF7">
        <w:rPr>
          <w:rStyle w:val="articlecontent"/>
          <w:sz w:val="44"/>
          <w:szCs w:val="44"/>
        </w:rPr>
        <w:t xml:space="preserve">: </w:t>
      </w:r>
      <w:r w:rsidRPr="00F66BF7">
        <w:rPr>
          <w:rStyle w:val="articlecontent"/>
          <w:sz w:val="44"/>
          <w:szCs w:val="44"/>
          <w:rtl/>
        </w:rPr>
        <w:t>النسق الناسخ /اختراع الفحل</w:t>
      </w:r>
      <w:r w:rsidRPr="00F66BF7">
        <w:rPr>
          <w:sz w:val="44"/>
          <w:szCs w:val="44"/>
        </w:rPr>
        <w:br/>
      </w:r>
      <w:r w:rsidRPr="00F66BF7">
        <w:rPr>
          <w:rStyle w:val="articlecontent"/>
          <w:sz w:val="44"/>
          <w:szCs w:val="44"/>
          <w:rtl/>
        </w:rPr>
        <w:t>تحليل نظرية النقد الثقافي بالتوسل بالتطبيق الإجرائي</w:t>
      </w:r>
      <w:r w:rsidRPr="00F66BF7">
        <w:rPr>
          <w:rStyle w:val="articlecontent"/>
          <w:sz w:val="44"/>
          <w:szCs w:val="44"/>
        </w:rPr>
        <w:t>.</w:t>
      </w:r>
      <w:r w:rsidRPr="00F66BF7">
        <w:rPr>
          <w:sz w:val="44"/>
          <w:szCs w:val="44"/>
        </w:rPr>
        <w:br/>
      </w:r>
      <w:r w:rsidRPr="002C3D54">
        <w:rPr>
          <w:rStyle w:val="articlecontent"/>
          <w:b/>
          <w:bCs/>
          <w:sz w:val="44"/>
          <w:szCs w:val="44"/>
        </w:rPr>
        <w:t xml:space="preserve">* · </w:t>
      </w:r>
      <w:r w:rsidRPr="002C3D54">
        <w:rPr>
          <w:rStyle w:val="articlecontent"/>
          <w:b/>
          <w:bCs/>
          <w:sz w:val="44"/>
          <w:szCs w:val="44"/>
          <w:rtl/>
        </w:rPr>
        <w:t>الفصل الرابع:</w:t>
      </w:r>
    </w:p>
    <w:p w:rsidR="002C3D54" w:rsidRDefault="00F66BF7" w:rsidP="002C3D54">
      <w:pPr>
        <w:bidi/>
        <w:rPr>
          <w:rStyle w:val="articlecontent"/>
          <w:rFonts w:hint="cs"/>
          <w:sz w:val="44"/>
          <w:szCs w:val="44"/>
          <w:rtl/>
        </w:rPr>
      </w:pPr>
      <w:r w:rsidRPr="00F66BF7">
        <w:rPr>
          <w:rStyle w:val="articlecontent"/>
          <w:sz w:val="44"/>
          <w:szCs w:val="44"/>
          <w:rtl/>
        </w:rPr>
        <w:t>تزييف الخطاب/صناعة الطاغية</w:t>
      </w:r>
      <w:r w:rsidRPr="00F66BF7">
        <w:rPr>
          <w:sz w:val="44"/>
          <w:szCs w:val="44"/>
        </w:rPr>
        <w:br/>
      </w:r>
      <w:r w:rsidRPr="00F66BF7">
        <w:rPr>
          <w:rStyle w:val="articlecontent"/>
          <w:sz w:val="44"/>
          <w:szCs w:val="44"/>
          <w:rtl/>
        </w:rPr>
        <w:t>تبيان كيف يؤدي تزييف الخطاب، و تغير المنظومة الأخلاقية إلى ظهور نسق خطابي له جانبان مضمر ،و صريح جمالي</w:t>
      </w:r>
      <w:r w:rsidRPr="00F66BF7">
        <w:rPr>
          <w:rStyle w:val="articlecontent"/>
          <w:sz w:val="44"/>
          <w:szCs w:val="44"/>
        </w:rPr>
        <w:t xml:space="preserve"> .</w:t>
      </w:r>
      <w:r w:rsidRPr="00F66BF7">
        <w:rPr>
          <w:sz w:val="44"/>
          <w:szCs w:val="44"/>
        </w:rPr>
        <w:br/>
      </w:r>
      <w:r w:rsidRPr="002C3D54">
        <w:rPr>
          <w:rStyle w:val="articlecontent"/>
          <w:b/>
          <w:bCs/>
          <w:sz w:val="44"/>
          <w:szCs w:val="44"/>
        </w:rPr>
        <w:t xml:space="preserve">* · </w:t>
      </w:r>
      <w:r w:rsidRPr="002C3D54">
        <w:rPr>
          <w:rStyle w:val="articlecontent"/>
          <w:b/>
          <w:bCs/>
          <w:sz w:val="44"/>
          <w:szCs w:val="44"/>
          <w:rtl/>
        </w:rPr>
        <w:t>الفصل الخامس:</w:t>
      </w:r>
    </w:p>
    <w:p w:rsidR="002C3D54" w:rsidRDefault="00F66BF7" w:rsidP="002C3D54">
      <w:pPr>
        <w:bidi/>
        <w:rPr>
          <w:rStyle w:val="articlecontent"/>
          <w:rFonts w:hint="cs"/>
          <w:sz w:val="44"/>
          <w:szCs w:val="44"/>
          <w:rtl/>
        </w:rPr>
      </w:pPr>
      <w:r w:rsidRPr="00F66BF7">
        <w:rPr>
          <w:rStyle w:val="articlecontent"/>
          <w:sz w:val="44"/>
          <w:szCs w:val="44"/>
          <w:rtl/>
        </w:rPr>
        <w:t>اختراع الصمت/</w:t>
      </w:r>
      <w:proofErr w:type="spellStart"/>
      <w:r w:rsidRPr="00F66BF7">
        <w:rPr>
          <w:rStyle w:val="articlecontent"/>
          <w:sz w:val="44"/>
          <w:szCs w:val="44"/>
          <w:rtl/>
        </w:rPr>
        <w:t>نسقية</w:t>
      </w:r>
      <w:proofErr w:type="spellEnd"/>
      <w:r w:rsidRPr="00F66BF7">
        <w:rPr>
          <w:rStyle w:val="articlecontent"/>
          <w:sz w:val="44"/>
          <w:szCs w:val="44"/>
          <w:rtl/>
        </w:rPr>
        <w:t xml:space="preserve"> المعارضة</w:t>
      </w:r>
      <w:r w:rsidRPr="00F66BF7">
        <w:rPr>
          <w:sz w:val="44"/>
          <w:szCs w:val="44"/>
        </w:rPr>
        <w:br/>
      </w:r>
      <w:r w:rsidRPr="00F66BF7">
        <w:rPr>
          <w:rStyle w:val="articlecontent"/>
          <w:sz w:val="44"/>
          <w:szCs w:val="44"/>
          <w:rtl/>
        </w:rPr>
        <w:t xml:space="preserve">الحديث عن جماليات الصمت التي تظهر في نصوص بوصفها تعبير عن الخطاب </w:t>
      </w:r>
      <w:proofErr w:type="spellStart"/>
      <w:r w:rsidRPr="00F66BF7">
        <w:rPr>
          <w:rStyle w:val="articlecontent"/>
          <w:sz w:val="44"/>
          <w:szCs w:val="44"/>
          <w:rtl/>
        </w:rPr>
        <w:t>المسكوت</w:t>
      </w:r>
      <w:proofErr w:type="spellEnd"/>
      <w:r w:rsidRPr="00F66BF7">
        <w:rPr>
          <w:rStyle w:val="articlecontent"/>
          <w:sz w:val="44"/>
          <w:szCs w:val="44"/>
          <w:rtl/>
        </w:rPr>
        <w:t xml:space="preserve"> عنه في وجود سلطة ما</w:t>
      </w:r>
      <w:r w:rsidR="002C3D54">
        <w:rPr>
          <w:rStyle w:val="articlecontent"/>
          <w:rFonts w:hint="cs"/>
          <w:sz w:val="44"/>
          <w:szCs w:val="44"/>
          <w:rtl/>
        </w:rPr>
        <w:t>(</w:t>
      </w:r>
      <w:r w:rsidRPr="00F66BF7">
        <w:rPr>
          <w:rStyle w:val="articlecontent"/>
          <w:sz w:val="44"/>
          <w:szCs w:val="44"/>
        </w:rPr>
        <w:t xml:space="preserve"> </w:t>
      </w:r>
      <w:proofErr w:type="spellStart"/>
      <w:r w:rsidRPr="00F66BF7">
        <w:rPr>
          <w:rStyle w:val="articlecontent"/>
          <w:sz w:val="44"/>
          <w:szCs w:val="44"/>
          <w:rtl/>
        </w:rPr>
        <w:t>نسقية</w:t>
      </w:r>
      <w:proofErr w:type="spellEnd"/>
      <w:r w:rsidRPr="00F66BF7">
        <w:rPr>
          <w:rStyle w:val="articlecontent"/>
          <w:sz w:val="44"/>
          <w:szCs w:val="44"/>
          <w:rtl/>
        </w:rPr>
        <w:t xml:space="preserve"> المعارضة</w:t>
      </w:r>
      <w:r w:rsidR="002C3D54">
        <w:rPr>
          <w:rStyle w:val="articlecontent"/>
          <w:rFonts w:hint="cs"/>
          <w:sz w:val="44"/>
          <w:szCs w:val="44"/>
          <w:rtl/>
        </w:rPr>
        <w:t>)</w:t>
      </w:r>
      <w:r w:rsidRPr="00F66BF7">
        <w:rPr>
          <w:sz w:val="44"/>
          <w:szCs w:val="44"/>
        </w:rPr>
        <w:br/>
      </w:r>
      <w:r w:rsidRPr="002C3D54">
        <w:rPr>
          <w:rStyle w:val="articlecontent"/>
          <w:b/>
          <w:bCs/>
          <w:sz w:val="44"/>
          <w:szCs w:val="44"/>
        </w:rPr>
        <w:t xml:space="preserve">* · </w:t>
      </w:r>
      <w:r w:rsidRPr="002C3D54">
        <w:rPr>
          <w:rStyle w:val="articlecontent"/>
          <w:b/>
          <w:bCs/>
          <w:sz w:val="44"/>
          <w:szCs w:val="44"/>
          <w:rtl/>
        </w:rPr>
        <w:t>الفصل السادس:</w:t>
      </w:r>
    </w:p>
    <w:p w:rsidR="002C3D54" w:rsidRDefault="00F66BF7" w:rsidP="002C3D54">
      <w:pPr>
        <w:bidi/>
        <w:rPr>
          <w:rStyle w:val="articlecontent"/>
          <w:rFonts w:hint="cs"/>
          <w:sz w:val="44"/>
          <w:szCs w:val="44"/>
          <w:rtl/>
        </w:rPr>
      </w:pPr>
      <w:r w:rsidRPr="00F66BF7">
        <w:rPr>
          <w:rStyle w:val="articlecontent"/>
          <w:sz w:val="44"/>
          <w:szCs w:val="44"/>
          <w:rtl/>
        </w:rPr>
        <w:t>النسق المخاتل/الخروج على المتن</w:t>
      </w:r>
      <w:r w:rsidRPr="00F66BF7">
        <w:rPr>
          <w:sz w:val="44"/>
          <w:szCs w:val="44"/>
        </w:rPr>
        <w:br/>
      </w:r>
      <w:r w:rsidRPr="00F66BF7">
        <w:rPr>
          <w:rStyle w:val="articlecontent"/>
          <w:sz w:val="44"/>
          <w:szCs w:val="44"/>
          <w:rtl/>
        </w:rPr>
        <w:t>الحديث عن الجاحظ كنموذج للحديث عن الجانب المضمر الصريح في النسق الثقافي</w:t>
      </w:r>
      <w:r w:rsidRPr="00F66BF7">
        <w:rPr>
          <w:rStyle w:val="articlecontent"/>
          <w:sz w:val="44"/>
          <w:szCs w:val="44"/>
        </w:rPr>
        <w:t>.</w:t>
      </w:r>
    </w:p>
    <w:p w:rsidR="002C3D54" w:rsidRPr="002C3D54" w:rsidRDefault="00F66BF7" w:rsidP="002C3D54">
      <w:pPr>
        <w:bidi/>
        <w:rPr>
          <w:rStyle w:val="articlecontent"/>
          <w:rFonts w:hint="cs"/>
          <w:b/>
          <w:bCs/>
          <w:sz w:val="44"/>
          <w:szCs w:val="44"/>
          <w:rtl/>
        </w:rPr>
      </w:pPr>
      <w:r w:rsidRPr="00F66BF7">
        <w:rPr>
          <w:sz w:val="44"/>
          <w:szCs w:val="44"/>
        </w:rPr>
        <w:lastRenderedPageBreak/>
        <w:br/>
      </w:r>
      <w:r w:rsidRPr="002C3D54">
        <w:rPr>
          <w:rStyle w:val="articlecontent"/>
          <w:b/>
          <w:bCs/>
          <w:sz w:val="44"/>
          <w:szCs w:val="44"/>
        </w:rPr>
        <w:t xml:space="preserve">* · </w:t>
      </w:r>
      <w:r w:rsidRPr="002C3D54">
        <w:rPr>
          <w:rStyle w:val="articlecontent"/>
          <w:b/>
          <w:bCs/>
          <w:sz w:val="44"/>
          <w:szCs w:val="44"/>
          <w:rtl/>
        </w:rPr>
        <w:t>الفصل السابع:</w:t>
      </w:r>
    </w:p>
    <w:p w:rsidR="00F66BF7" w:rsidRPr="00F66BF7" w:rsidRDefault="00F66BF7" w:rsidP="002C3D54">
      <w:pPr>
        <w:bidi/>
        <w:rPr>
          <w:rFonts w:hint="cs"/>
          <w:b/>
          <w:bCs/>
          <w:color w:val="0070C0"/>
          <w:sz w:val="44"/>
          <w:szCs w:val="44"/>
          <w:rtl/>
          <w:lang w:bidi="ar-DZ"/>
        </w:rPr>
      </w:pPr>
      <w:r w:rsidRPr="00F66BF7">
        <w:rPr>
          <w:rStyle w:val="articlecontent"/>
          <w:sz w:val="44"/>
          <w:szCs w:val="44"/>
          <w:rtl/>
        </w:rPr>
        <w:t>صراع الأنساق (عودة الفحل/رجعية الحداثة</w:t>
      </w:r>
      <w:r w:rsidR="002C3D54">
        <w:rPr>
          <w:rStyle w:val="articlecontent"/>
          <w:rFonts w:hint="cs"/>
          <w:sz w:val="44"/>
          <w:szCs w:val="44"/>
          <w:rtl/>
        </w:rPr>
        <w:t>)</w:t>
      </w:r>
      <w:r w:rsidRPr="00F66BF7">
        <w:rPr>
          <w:sz w:val="44"/>
          <w:szCs w:val="44"/>
        </w:rPr>
        <w:br/>
      </w:r>
      <w:r w:rsidRPr="00F66BF7">
        <w:rPr>
          <w:rStyle w:val="articlecontent"/>
          <w:sz w:val="44"/>
          <w:szCs w:val="44"/>
          <w:rtl/>
        </w:rPr>
        <w:t xml:space="preserve">تبيان صراع الأنساق في الخطاب العربي المعاصر ، من خلال تقديم علامات ثقافية أبرزها </w:t>
      </w:r>
      <w:proofErr w:type="spellStart"/>
      <w:r w:rsidRPr="00F66BF7">
        <w:rPr>
          <w:rStyle w:val="articlecontent"/>
          <w:sz w:val="44"/>
          <w:szCs w:val="44"/>
          <w:rtl/>
        </w:rPr>
        <w:t>السياب</w:t>
      </w:r>
      <w:proofErr w:type="spellEnd"/>
      <w:r w:rsidRPr="00F66BF7">
        <w:rPr>
          <w:rStyle w:val="articlecontent"/>
          <w:sz w:val="44"/>
          <w:szCs w:val="44"/>
          <w:rtl/>
        </w:rPr>
        <w:t xml:space="preserve"> ،و نازك الملائكة ،و </w:t>
      </w:r>
      <w:proofErr w:type="spellStart"/>
      <w:r w:rsidRPr="00F66BF7">
        <w:rPr>
          <w:rStyle w:val="articlecontent"/>
          <w:sz w:val="44"/>
          <w:szCs w:val="44"/>
          <w:rtl/>
        </w:rPr>
        <w:t>أدونيس</w:t>
      </w:r>
      <w:proofErr w:type="spellEnd"/>
      <w:r w:rsidRPr="00F66BF7">
        <w:rPr>
          <w:rStyle w:val="articlecontent"/>
          <w:sz w:val="44"/>
          <w:szCs w:val="44"/>
          <w:rtl/>
        </w:rPr>
        <w:t xml:space="preserve"> ونزار قباني من خلال تمريرها خطابات ضمنية تمجد الذات و الطاغية،و تتعارض مع الحداثة ،ثم تنتج خطابات لاعقلانية</w:t>
      </w:r>
      <w:r w:rsidRPr="00F66BF7">
        <w:rPr>
          <w:rStyle w:val="articlecontent"/>
          <w:sz w:val="44"/>
          <w:szCs w:val="44"/>
        </w:rPr>
        <w:t>.</w:t>
      </w:r>
      <w:r w:rsidRPr="00F66BF7">
        <w:rPr>
          <w:sz w:val="44"/>
          <w:szCs w:val="44"/>
        </w:rPr>
        <w:br/>
      </w:r>
      <w:r w:rsidRPr="00F66BF7">
        <w:rPr>
          <w:rStyle w:val="articlecontent"/>
          <w:sz w:val="44"/>
          <w:szCs w:val="44"/>
          <w:rtl/>
        </w:rPr>
        <w:t>ختاما، بقي أن نشير بعد هذا العرض الموجز إلى أن هذا الكتاب يعد إضافة حقيقية إلى المشهد النقد العربي، و إلى أهميته بالنسبة للمهتمين بالمنجز الروائي قراء ونقادا</w:t>
      </w:r>
      <w:proofErr w:type="gramStart"/>
      <w:r w:rsidRPr="00F66BF7">
        <w:rPr>
          <w:rStyle w:val="articlecontent"/>
          <w:sz w:val="44"/>
          <w:szCs w:val="44"/>
          <w:rtl/>
        </w:rPr>
        <w:t>،.</w:t>
      </w:r>
      <w:proofErr w:type="gramEnd"/>
      <w:r w:rsidRPr="00F66BF7">
        <w:rPr>
          <w:rStyle w:val="articlecontent"/>
          <w:sz w:val="44"/>
          <w:szCs w:val="44"/>
          <w:rtl/>
        </w:rPr>
        <w:t xml:space="preserve">...و </w:t>
      </w:r>
      <w:proofErr w:type="gramStart"/>
      <w:r w:rsidRPr="00F66BF7">
        <w:rPr>
          <w:rStyle w:val="articlecontent"/>
          <w:sz w:val="44"/>
          <w:szCs w:val="44"/>
          <w:rtl/>
        </w:rPr>
        <w:t>مبدعين</w:t>
      </w:r>
      <w:proofErr w:type="gramEnd"/>
      <w:r w:rsidRPr="00F66BF7">
        <w:rPr>
          <w:rStyle w:val="articlecontent"/>
          <w:sz w:val="44"/>
          <w:szCs w:val="44"/>
          <w:rtl/>
        </w:rPr>
        <w:t xml:space="preserve"> أيضا</w:t>
      </w:r>
      <w:r w:rsidRPr="00F66BF7">
        <w:rPr>
          <w:rStyle w:val="articlecontent"/>
          <w:sz w:val="44"/>
          <w:szCs w:val="44"/>
        </w:rPr>
        <w:t>.</w:t>
      </w:r>
    </w:p>
    <w:sectPr w:rsidR="00F66BF7" w:rsidRPr="00F66BF7" w:rsidSect="00405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F66BF7"/>
    <w:rsid w:val="002C3D54"/>
    <w:rsid w:val="004059D0"/>
    <w:rsid w:val="00F66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BF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rticletitle">
    <w:name w:val="articletitle"/>
    <w:basedOn w:val="Policepardfaut"/>
    <w:rsid w:val="00F66BF7"/>
  </w:style>
  <w:style w:type="character" w:customStyle="1" w:styleId="articlecontent">
    <w:name w:val="articlecontent"/>
    <w:basedOn w:val="Policepardfaut"/>
    <w:rsid w:val="00F66BF7"/>
  </w:style>
  <w:style w:type="character" w:styleId="Lienhypertexte">
    <w:name w:val="Hyperlink"/>
    <w:basedOn w:val="Policepardfaut"/>
    <w:uiPriority w:val="99"/>
    <w:semiHidden/>
    <w:unhideWhenUsed/>
    <w:rsid w:val="00F66BF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html:file://C:\Users\Admin\AppData\Local\Temp\WPDNSE\%7bFFE45F92-F100-B7D6-A3C9-2D3217E9BCDA%7d\&#1605;&#1594;&#1585;&#1587;%20_%20&#1604;&#1605;&#1581;&#1577;%20&#1593;&#1606;%20&#1603;&#1578;&#1575;&#1576;%20_&#1575;&#1604;&#1606;&#1602;&#1583;%20&#1575;&#1604;&#1579;&#1602;&#1575;&#1601;&#1610;%20_%20&#1602;&#1585;&#1575;&#1569;&#1577;%20&#1575;&#1604;&#1571;&#1606;&#1587;&#1575;&#1602;%20&#1575;&#1604;&#1579;&#1602;&#1575;&#1601;&#1610;&#1577;%20&#1575;&#1604;&#1593;&#1585;&#1576;&#1610;&#1577;_.mhtml!https://www.maghress.com/city/%D8%A8%D9%8A%D8%B1%D9%88%D8%AA" TargetMode="External"/><Relationship Id="rId5" Type="http://schemas.openxmlformats.org/officeDocument/2006/relationships/hyperlink" Target="mhtml:file://C:\Users\Admin\AppData\Local\Temp\WPDNSE\%7bFFE45F92-F100-B7D6-A3C9-2D3217E9BCDA%7d\&#1605;&#1594;&#1585;&#1587;%20_%20&#1604;&#1605;&#1581;&#1577;%20&#1593;&#1606;%20&#1603;&#1578;&#1575;&#1576;%20_&#1575;&#1604;&#1606;&#1602;&#1583;%20&#1575;&#1604;&#1579;&#1602;&#1575;&#1601;&#1610;%20_%20&#1602;&#1585;&#1575;&#1569;&#1577;%20&#1575;&#1604;&#1571;&#1606;&#1587;&#1575;&#1602;%20&#1575;&#1604;&#1579;&#1602;&#1575;&#1601;&#1610;&#1577;%20&#1575;&#1604;&#1593;&#1585;&#1576;&#1610;&#1577;_.mhtml!https://www.maghress.com/city/%D8%A7%D9%84%D8%A8%D9%8A%D8%B6%D8%A7%D8%A1" TargetMode="External"/><Relationship Id="rId4" Type="http://schemas.openxmlformats.org/officeDocument/2006/relationships/hyperlink" Target="mhtml:file://C:\Users\Admin\AppData\Local\Temp\WPDNSE\%7bFFE45F92-F100-B7D6-A3C9-2D3217E9BCDA%7d\&#1605;&#1594;&#1585;&#1587;%20_%20&#1604;&#1605;&#1581;&#1577;%20&#1593;&#1606;%20&#1603;&#1578;&#1575;&#1576;%20_&#1575;&#1604;&#1606;&#1602;&#1583;%20&#1575;&#1604;&#1579;&#1602;&#1575;&#1601;&#1610;%20_%20&#1602;&#1585;&#1575;&#1569;&#1577;%20&#1575;&#1604;&#1571;&#1606;&#1587;&#1575;&#1602;%20&#1575;&#1604;&#1579;&#1602;&#1575;&#1601;&#1610;&#1577;%20&#1575;&#1604;&#1593;&#1585;&#1576;&#1610;&#1577;_.mhtml!https://www.maghress.com/city/%D8%A7%D9%84%D8%AF%D8%A7%D8%B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792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2020-04-25T14:45:00Z</dcterms:created>
  <dcterms:modified xsi:type="dcterms:W3CDTF">2020-04-25T15:01:00Z</dcterms:modified>
</cp:coreProperties>
</file>