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E" w:rsidRPr="0086445C" w:rsidRDefault="00174C7E" w:rsidP="0086445C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6445C">
        <w:rPr>
          <w:rFonts w:asciiTheme="majorBidi" w:hAnsiTheme="majorBidi" w:cstheme="majorBidi"/>
          <w:b/>
          <w:bCs/>
          <w:sz w:val="36"/>
          <w:szCs w:val="36"/>
        </w:rPr>
        <w:t>Enseignante : M</w:t>
      </w:r>
      <w:r w:rsidRPr="0086445C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 xml:space="preserve">me </w:t>
      </w:r>
      <w:proofErr w:type="spellStart"/>
      <w:r w:rsidRPr="0086445C">
        <w:rPr>
          <w:rFonts w:asciiTheme="majorBidi" w:hAnsiTheme="majorBidi" w:cstheme="majorBidi"/>
          <w:b/>
          <w:bCs/>
          <w:sz w:val="36"/>
          <w:szCs w:val="36"/>
        </w:rPr>
        <w:t>Brahimi</w:t>
      </w:r>
      <w:proofErr w:type="spellEnd"/>
      <w:r w:rsidRPr="0086445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86445C">
        <w:rPr>
          <w:rFonts w:asciiTheme="majorBidi" w:hAnsiTheme="majorBidi" w:cstheme="majorBidi"/>
          <w:b/>
          <w:bCs/>
          <w:sz w:val="36"/>
          <w:szCs w:val="36"/>
        </w:rPr>
        <w:t>Kholkhal</w:t>
      </w:r>
      <w:proofErr w:type="spellEnd"/>
      <w:r w:rsidRPr="0086445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86445C">
        <w:rPr>
          <w:rFonts w:asciiTheme="majorBidi" w:hAnsiTheme="majorBidi" w:cstheme="majorBidi"/>
          <w:b/>
          <w:bCs/>
          <w:sz w:val="36"/>
          <w:szCs w:val="36"/>
        </w:rPr>
        <w:t>Wahiba</w:t>
      </w:r>
      <w:proofErr w:type="spellEnd"/>
    </w:p>
    <w:p w:rsidR="00174C7E" w:rsidRPr="0086445C" w:rsidRDefault="00174C7E" w:rsidP="0086445C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6445C">
        <w:rPr>
          <w:rFonts w:asciiTheme="majorBidi" w:hAnsiTheme="majorBidi" w:cstheme="majorBidi"/>
          <w:b/>
          <w:bCs/>
          <w:sz w:val="36"/>
          <w:szCs w:val="36"/>
        </w:rPr>
        <w:t>Cours </w:t>
      </w:r>
      <w:proofErr w:type="gramStart"/>
      <w:r w:rsidRPr="0086445C">
        <w:rPr>
          <w:rFonts w:asciiTheme="majorBidi" w:hAnsiTheme="majorBidi" w:cstheme="majorBidi"/>
          <w:b/>
          <w:bCs/>
          <w:sz w:val="36"/>
          <w:szCs w:val="36"/>
        </w:rPr>
        <w:t>:Partie</w:t>
      </w:r>
      <w:proofErr w:type="gramEnd"/>
      <w:r w:rsidRPr="0086445C">
        <w:rPr>
          <w:rFonts w:asciiTheme="majorBidi" w:hAnsiTheme="majorBidi" w:cstheme="majorBidi"/>
          <w:b/>
          <w:bCs/>
          <w:sz w:val="36"/>
          <w:szCs w:val="36"/>
        </w:rPr>
        <w:t xml:space="preserve"> 2 </w:t>
      </w:r>
    </w:p>
    <w:p w:rsidR="00174C7E" w:rsidRPr="0086445C" w:rsidRDefault="00174C7E" w:rsidP="0086445C">
      <w:pPr>
        <w:spacing w:after="0"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6445C">
        <w:rPr>
          <w:rFonts w:asciiTheme="majorBidi" w:hAnsiTheme="majorBidi" w:cstheme="majorBidi"/>
          <w:b/>
          <w:bCs/>
          <w:sz w:val="36"/>
          <w:szCs w:val="36"/>
        </w:rPr>
        <w:t>Module </w:t>
      </w:r>
      <w:proofErr w:type="gramStart"/>
      <w:r w:rsidRPr="0086445C">
        <w:rPr>
          <w:rFonts w:asciiTheme="majorBidi" w:hAnsiTheme="majorBidi" w:cstheme="majorBidi"/>
          <w:b/>
          <w:bCs/>
          <w:sz w:val="36"/>
          <w:szCs w:val="36"/>
        </w:rPr>
        <w:t>:Mycologie</w:t>
      </w:r>
      <w:proofErr w:type="gramEnd"/>
      <w:r w:rsidRPr="0086445C">
        <w:rPr>
          <w:rFonts w:asciiTheme="majorBidi" w:hAnsiTheme="majorBidi" w:cstheme="majorBidi"/>
          <w:b/>
          <w:bCs/>
          <w:sz w:val="36"/>
          <w:szCs w:val="36"/>
        </w:rPr>
        <w:t xml:space="preserve"> appliquée</w:t>
      </w:r>
    </w:p>
    <w:p w:rsidR="00174C7E" w:rsidRPr="0086445C" w:rsidRDefault="00174C7E" w:rsidP="0086445C">
      <w:pPr>
        <w:spacing w:line="276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6445C">
        <w:rPr>
          <w:rFonts w:asciiTheme="majorBidi" w:hAnsiTheme="majorBidi" w:cstheme="majorBidi"/>
          <w:b/>
          <w:bCs/>
          <w:sz w:val="36"/>
          <w:szCs w:val="36"/>
        </w:rPr>
        <w:t>Promotion : Master 1 (Microbiologie et control de qualité)</w:t>
      </w:r>
    </w:p>
    <w:p w:rsidR="00EB305D" w:rsidRPr="0086445C" w:rsidRDefault="00EB305D" w:rsidP="0086445C">
      <w:pPr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45C">
        <w:rPr>
          <w:rFonts w:asciiTheme="majorBidi" w:hAnsiTheme="majorBidi" w:cstheme="majorBidi"/>
          <w:b/>
          <w:bCs/>
          <w:color w:val="FF0000"/>
          <w:sz w:val="28"/>
          <w:szCs w:val="28"/>
        </w:rPr>
        <w:t>Croissance des champignons (suite) :</w:t>
      </w:r>
    </w:p>
    <w:p w:rsidR="00EB305D" w:rsidRPr="0086445C" w:rsidRDefault="00EB305D" w:rsidP="0086445C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6445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Les facteurs influençant la croissance :</w:t>
      </w:r>
    </w:p>
    <w:p w:rsidR="00EB305D" w:rsidRPr="0086445C" w:rsidRDefault="002E7CCC" w:rsidP="0086445C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2B5FFC" w:rsidRPr="00864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 température de croissance </w:t>
      </w: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optimale</w:t>
      </w:r>
      <w:r w:rsidR="002B5FFC" w:rsidRPr="00864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entre 25°C et 30</w:t>
      </w: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°C</w:t>
      </w:r>
      <w:r w:rsidR="003A3C6E"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spores sont strictement plus thermorésistantes que le mycélium et peuvent échapper à une stérilisation de courte durée ou mal réalisée.</w:t>
      </w:r>
    </w:p>
    <w:p w:rsidR="00966E57" w:rsidRPr="0086445C" w:rsidRDefault="00966E57" w:rsidP="0086445C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Des taux élevés d’humidité sont indispensables pour le développement fongique</w:t>
      </w:r>
      <w:r w:rsidR="003A3C6E"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A3C6E" w:rsidRPr="0086445C" w:rsidRDefault="003A3C6E" w:rsidP="0086445C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L’oxygène constitue  un facteur limitant de la croissance mycélienne de la grande majorité des champignons.</w:t>
      </w:r>
    </w:p>
    <w:p w:rsidR="003A3C6E" w:rsidRPr="0086445C" w:rsidRDefault="003A3C6E" w:rsidP="0086445C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445C">
        <w:rPr>
          <w:rFonts w:asciiTheme="majorBidi" w:hAnsiTheme="majorBidi" w:cstheme="majorBidi"/>
          <w:color w:val="000000" w:themeColor="text1"/>
          <w:sz w:val="24"/>
          <w:szCs w:val="24"/>
        </w:rPr>
        <w:t>Les champignons tolèrent en général, une gamme de pH allant de 3 à 8; Les valeurs optimales étant comprises entre 5,5 et 7,5.</w:t>
      </w:r>
    </w:p>
    <w:p w:rsidR="007A5172" w:rsidRPr="0086445C" w:rsidRDefault="00502B0C" w:rsidP="0086445C">
      <w:pPr>
        <w:spacing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45C">
        <w:rPr>
          <w:rFonts w:asciiTheme="majorBidi" w:hAnsiTheme="majorBidi" w:cstheme="majorBidi"/>
          <w:b/>
          <w:bCs/>
          <w:color w:val="FF0000"/>
          <w:sz w:val="28"/>
          <w:szCs w:val="28"/>
        </w:rPr>
        <w:t>Nutrition des champignons :</w:t>
      </w:r>
    </w:p>
    <w:p w:rsidR="00D547CA" w:rsidRPr="0086445C" w:rsidRDefault="003F0FBF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 xml:space="preserve">Ils sont des hétérotrophes. Ce qui </w:t>
      </w:r>
      <w:r w:rsidR="00A27A9D" w:rsidRPr="0086445C">
        <w:rPr>
          <w:rFonts w:asciiTheme="majorBidi" w:hAnsiTheme="majorBidi" w:cstheme="majorBidi"/>
        </w:rPr>
        <w:t>conditionne leur vie saprophytisme</w:t>
      </w:r>
      <w:r w:rsidRPr="0086445C">
        <w:rPr>
          <w:rFonts w:asciiTheme="majorBidi" w:hAnsiTheme="majorBidi" w:cstheme="majorBidi"/>
        </w:rPr>
        <w:t>, parasitaire ou symbiotique.</w:t>
      </w:r>
      <w:r w:rsidR="001B4CBA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="0097082F" w:rsidRPr="0086445C">
        <w:rPr>
          <w:rFonts w:asciiTheme="majorBidi" w:hAnsiTheme="majorBidi" w:cstheme="majorBidi"/>
        </w:rPr>
        <w:t>Les champignons saprophytes absorbent les composés organiques solubles et les éléments minéraux p</w:t>
      </w:r>
      <w:r w:rsidR="00040859" w:rsidRPr="0086445C">
        <w:rPr>
          <w:rFonts w:asciiTheme="majorBidi" w:hAnsiTheme="majorBidi" w:cstheme="majorBidi"/>
        </w:rPr>
        <w:t xml:space="preserve">ar </w:t>
      </w:r>
      <w:proofErr w:type="spellStart"/>
      <w:r w:rsidR="00040859" w:rsidRPr="0086445C">
        <w:rPr>
          <w:rFonts w:asciiTheme="majorBidi" w:hAnsiTheme="majorBidi" w:cstheme="majorBidi"/>
        </w:rPr>
        <w:t>cotransport</w:t>
      </w:r>
      <w:proofErr w:type="spellEnd"/>
      <w:r w:rsidR="00040859" w:rsidRPr="0086445C">
        <w:rPr>
          <w:rFonts w:asciiTheme="majorBidi" w:hAnsiTheme="majorBidi" w:cstheme="majorBidi"/>
        </w:rPr>
        <w:t xml:space="preserve"> avec les protons</w:t>
      </w:r>
      <w:r w:rsidR="002A202C" w:rsidRPr="0086445C">
        <w:rPr>
          <w:rFonts w:asciiTheme="majorBidi" w:hAnsiTheme="majorBidi" w:cstheme="majorBidi"/>
        </w:rPr>
        <w:t xml:space="preserve"> à travers une zone membranaire adjacente au dôme de l’apex</w:t>
      </w:r>
      <w:r w:rsidR="00A56460" w:rsidRPr="0086445C">
        <w:rPr>
          <w:rFonts w:asciiTheme="majorBidi" w:hAnsiTheme="majorBidi" w:cstheme="majorBidi"/>
        </w:rPr>
        <w:t xml:space="preserve">. </w:t>
      </w:r>
      <w:r w:rsidR="003A1738" w:rsidRPr="0086445C">
        <w:rPr>
          <w:rFonts w:asciiTheme="majorBidi" w:hAnsiTheme="majorBidi" w:cstheme="majorBidi"/>
        </w:rPr>
        <w:t>Concernant l</w:t>
      </w:r>
      <w:r w:rsidR="00040859" w:rsidRPr="0086445C">
        <w:rPr>
          <w:rFonts w:asciiTheme="majorBidi" w:hAnsiTheme="majorBidi" w:cstheme="majorBidi"/>
        </w:rPr>
        <w:t>es macromolécules</w:t>
      </w:r>
      <w:r w:rsidR="003A1738" w:rsidRPr="0086445C">
        <w:rPr>
          <w:rFonts w:asciiTheme="majorBidi" w:hAnsiTheme="majorBidi" w:cstheme="majorBidi"/>
        </w:rPr>
        <w:t>, ils</w:t>
      </w:r>
      <w:r w:rsidR="00040859" w:rsidRPr="0086445C">
        <w:rPr>
          <w:rFonts w:asciiTheme="majorBidi" w:hAnsiTheme="majorBidi" w:cstheme="majorBidi"/>
        </w:rPr>
        <w:t xml:space="preserve"> subissent d’abords une prédigestion</w:t>
      </w:r>
      <w:r w:rsidR="00D547CA" w:rsidRPr="0086445C">
        <w:rPr>
          <w:rFonts w:asciiTheme="majorBidi" w:hAnsiTheme="majorBidi" w:cstheme="majorBidi"/>
        </w:rPr>
        <w:t xml:space="preserve"> par  fragmentation en monomères absorbables, cette réduction est assurée par les </w:t>
      </w:r>
      <w:proofErr w:type="spellStart"/>
      <w:r w:rsidR="00D547CA" w:rsidRPr="0086445C">
        <w:rPr>
          <w:rFonts w:asciiTheme="majorBidi" w:hAnsiTheme="majorBidi" w:cstheme="majorBidi"/>
        </w:rPr>
        <w:t>exoenzymes</w:t>
      </w:r>
      <w:proofErr w:type="spellEnd"/>
      <w:r w:rsidR="00D547CA" w:rsidRPr="0086445C">
        <w:rPr>
          <w:rFonts w:asciiTheme="majorBidi" w:hAnsiTheme="majorBidi" w:cstheme="majorBidi"/>
        </w:rPr>
        <w:t xml:space="preserve"> </w:t>
      </w:r>
      <w:proofErr w:type="spellStart"/>
      <w:r w:rsidR="00D547CA" w:rsidRPr="0086445C">
        <w:rPr>
          <w:rFonts w:asciiTheme="majorBidi" w:hAnsiTheme="majorBidi" w:cstheme="majorBidi"/>
        </w:rPr>
        <w:t>dépolymérases</w:t>
      </w:r>
      <w:proofErr w:type="spellEnd"/>
      <w:r w:rsidR="00D547CA" w:rsidRPr="0086445C">
        <w:rPr>
          <w:rFonts w:asciiTheme="majorBidi" w:hAnsiTheme="majorBidi" w:cstheme="majorBidi"/>
        </w:rPr>
        <w:t xml:space="preserve"> synthétisées par la cellule-elle même- au moment de besoin.</w:t>
      </w:r>
    </w:p>
    <w:p w:rsidR="00A27A9D" w:rsidRPr="0086445C" w:rsidRDefault="00D547CA" w:rsidP="0086445C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>Sources de carbone et d’</w:t>
      </w:r>
      <w:r w:rsidR="00AB1B16" w:rsidRPr="0086445C">
        <w:rPr>
          <w:rFonts w:asciiTheme="majorBidi" w:hAnsiTheme="majorBidi" w:cstheme="majorBidi"/>
        </w:rPr>
        <w:t>énergie :</w:t>
      </w:r>
    </w:p>
    <w:p w:rsidR="00284EAA" w:rsidRPr="0086445C" w:rsidRDefault="00A27A9D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>Le</w:t>
      </w:r>
      <w:r w:rsidR="00AB1B16" w:rsidRPr="0086445C">
        <w:rPr>
          <w:rFonts w:asciiTheme="majorBidi" w:hAnsiTheme="majorBidi" w:cstheme="majorBidi"/>
        </w:rPr>
        <w:t>s mono et disaccharides, les acides gras et d’autres acides organiques dérivés des glucides</w:t>
      </w:r>
      <w:r w:rsidR="00FE0DB0" w:rsidRPr="0086445C">
        <w:rPr>
          <w:rFonts w:asciiTheme="majorBidi" w:hAnsiTheme="majorBidi" w:cstheme="majorBidi"/>
        </w:rPr>
        <w:t xml:space="preserve"> </w:t>
      </w:r>
      <w:r w:rsidR="00AB1B16" w:rsidRPr="0086445C">
        <w:rPr>
          <w:rFonts w:asciiTheme="majorBidi" w:hAnsiTheme="majorBidi" w:cstheme="majorBidi"/>
        </w:rPr>
        <w:t xml:space="preserve">sont les plus assimilables </w:t>
      </w:r>
      <w:r w:rsidR="00FE0DB0" w:rsidRPr="0086445C">
        <w:rPr>
          <w:rFonts w:asciiTheme="majorBidi" w:hAnsiTheme="majorBidi" w:cstheme="majorBidi"/>
        </w:rPr>
        <w:t>en raison de leurs faibles poids moléculaire. Les grosses molécules comme la cellulose (cristalline ou amorphe, l’amidon, la lignine et la kératine, sont préalablement dégradées à l’extérieur</w:t>
      </w:r>
      <w:r w:rsidR="00284EAA" w:rsidRPr="0086445C">
        <w:rPr>
          <w:rFonts w:asciiTheme="majorBidi" w:hAnsiTheme="majorBidi" w:cstheme="majorBidi"/>
        </w:rPr>
        <w:t xml:space="preserve">. les enzymes extracellulaires sont produites dans la nécessité et restent attachées à la paroi pour éviter la concurrence trophique avec les autres organismes sur les produits de dégradation. </w:t>
      </w:r>
    </w:p>
    <w:p w:rsidR="00284EAA" w:rsidRPr="0086445C" w:rsidRDefault="00284EAA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 xml:space="preserve">Les hydrocarbures et les pesticides sont également dégradables par les mycètes par des efficaces bien que  mal connus. </w:t>
      </w:r>
    </w:p>
    <w:p w:rsidR="00A27A9D" w:rsidRPr="0086445C" w:rsidRDefault="00284EAA" w:rsidP="0086445C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>Sources d’azote</w:t>
      </w:r>
      <w:r w:rsidR="00496502" w:rsidRPr="0086445C">
        <w:rPr>
          <w:rFonts w:asciiTheme="majorBidi" w:hAnsiTheme="majorBidi" w:cstheme="majorBidi"/>
        </w:rPr>
        <w:t xml:space="preserve"> : </w:t>
      </w:r>
    </w:p>
    <w:p w:rsidR="00D547CA" w:rsidRPr="0086445C" w:rsidRDefault="00496502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 xml:space="preserve">Ce sont des agents de dégradation  des composés azotés tels que l’urée et l’hydroxylamine et plus rarement les acides aminés et les nitrates. Les genres </w:t>
      </w:r>
      <w:r w:rsidRPr="001B4CBA">
        <w:rPr>
          <w:rFonts w:asciiTheme="majorBidi" w:hAnsiTheme="majorBidi" w:cstheme="majorBidi"/>
          <w:i/>
          <w:iCs/>
        </w:rPr>
        <w:t>Aspergillus</w:t>
      </w:r>
      <w:r w:rsidRPr="0086445C">
        <w:rPr>
          <w:rFonts w:asciiTheme="majorBidi" w:hAnsiTheme="majorBidi" w:cstheme="majorBidi"/>
        </w:rPr>
        <w:t xml:space="preserve"> et </w:t>
      </w:r>
      <w:proofErr w:type="spellStart"/>
      <w:r w:rsidRPr="001B4CBA">
        <w:rPr>
          <w:rFonts w:asciiTheme="majorBidi" w:hAnsiTheme="majorBidi" w:cstheme="majorBidi"/>
          <w:i/>
          <w:iCs/>
        </w:rPr>
        <w:t>Rhizopus</w:t>
      </w:r>
      <w:proofErr w:type="spellEnd"/>
      <w:r w:rsidRPr="001B4CBA">
        <w:rPr>
          <w:rFonts w:asciiTheme="majorBidi" w:hAnsiTheme="majorBidi" w:cstheme="majorBidi"/>
          <w:i/>
          <w:iCs/>
        </w:rPr>
        <w:t xml:space="preserve"> </w:t>
      </w:r>
      <w:r w:rsidRPr="0086445C">
        <w:rPr>
          <w:rFonts w:asciiTheme="majorBidi" w:hAnsiTheme="majorBidi" w:cstheme="majorBidi"/>
        </w:rPr>
        <w:t>élaborent, entre autre, des enzymes extracellulaires intervenant dans la dégradation des polypeptides et des macromolécules protéiniques</w:t>
      </w:r>
      <w:r w:rsidR="00A27A9D" w:rsidRPr="0086445C">
        <w:rPr>
          <w:rFonts w:asciiTheme="majorBidi" w:hAnsiTheme="majorBidi" w:cstheme="majorBidi"/>
        </w:rPr>
        <w:t>.</w:t>
      </w:r>
    </w:p>
    <w:p w:rsidR="0086445C" w:rsidRDefault="0086445C" w:rsidP="0086445C">
      <w:pPr>
        <w:spacing w:line="276" w:lineRule="auto"/>
        <w:rPr>
          <w:rFonts w:asciiTheme="majorBidi" w:hAnsiTheme="majorBidi" w:cstheme="majorBidi"/>
        </w:rPr>
      </w:pPr>
    </w:p>
    <w:p w:rsidR="0086445C" w:rsidRDefault="0086445C" w:rsidP="0086445C">
      <w:pPr>
        <w:spacing w:line="276" w:lineRule="auto"/>
        <w:rPr>
          <w:rFonts w:asciiTheme="majorBidi" w:hAnsiTheme="majorBidi" w:cstheme="majorBidi"/>
        </w:rPr>
      </w:pPr>
    </w:p>
    <w:p w:rsidR="0086445C" w:rsidRDefault="0086445C" w:rsidP="0086445C">
      <w:pPr>
        <w:spacing w:line="276" w:lineRule="auto"/>
        <w:rPr>
          <w:rFonts w:asciiTheme="majorBidi" w:hAnsiTheme="majorBidi" w:cstheme="majorBidi"/>
        </w:rPr>
      </w:pPr>
    </w:p>
    <w:p w:rsidR="0086445C" w:rsidRPr="0086445C" w:rsidRDefault="00496502" w:rsidP="0086445C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lastRenderedPageBreak/>
        <w:t>Nutrition minérale :</w:t>
      </w:r>
    </w:p>
    <w:p w:rsidR="00D579C7" w:rsidRPr="0086445C" w:rsidRDefault="00496502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 xml:space="preserve">Comme tout organisme vivant, les mycètes exigent, pour le fonctionnement ordinaire de leur métabolisme, des éléments </w:t>
      </w:r>
      <w:r w:rsidR="001B4CBA" w:rsidRPr="0086445C">
        <w:rPr>
          <w:rFonts w:asciiTheme="majorBidi" w:hAnsiTheme="majorBidi" w:cstheme="majorBidi"/>
        </w:rPr>
        <w:t>minéraux</w:t>
      </w:r>
      <w:r w:rsidRPr="0086445C">
        <w:rPr>
          <w:rFonts w:asciiTheme="majorBidi" w:hAnsiTheme="majorBidi" w:cstheme="majorBidi"/>
        </w:rPr>
        <w:t xml:space="preserve"> indispensables tels que (P, S, Fe, Mg, Ca et K) et les éléments traces comme (Mn, </w:t>
      </w:r>
      <w:proofErr w:type="gramStart"/>
      <w:r w:rsidRPr="0086445C">
        <w:rPr>
          <w:rFonts w:asciiTheme="majorBidi" w:hAnsiTheme="majorBidi" w:cstheme="majorBidi"/>
        </w:rPr>
        <w:t>Cu ..</w:t>
      </w:r>
      <w:proofErr w:type="gramEnd"/>
      <w:r w:rsidRPr="0086445C">
        <w:rPr>
          <w:rFonts w:asciiTheme="majorBidi" w:hAnsiTheme="majorBidi" w:cstheme="majorBidi"/>
        </w:rPr>
        <w:t>).</w:t>
      </w:r>
    </w:p>
    <w:p w:rsidR="0086445C" w:rsidRPr="0086445C" w:rsidRDefault="005E42CC" w:rsidP="0086445C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</w:rPr>
      </w:pPr>
      <w:proofErr w:type="spellStart"/>
      <w:r w:rsidRPr="0086445C">
        <w:rPr>
          <w:rFonts w:asciiTheme="majorBidi" w:hAnsiTheme="majorBidi" w:cstheme="majorBidi"/>
        </w:rPr>
        <w:t>Oligotrophie</w:t>
      </w:r>
      <w:proofErr w:type="spellEnd"/>
      <w:r w:rsidRPr="0086445C">
        <w:rPr>
          <w:rFonts w:asciiTheme="majorBidi" w:hAnsiTheme="majorBidi" w:cstheme="majorBidi"/>
        </w:rPr>
        <w:t> :</w:t>
      </w:r>
      <w:r w:rsidRPr="0086445C">
        <w:rPr>
          <w:rFonts w:asciiTheme="majorBidi" w:hAnsiTheme="majorBidi" w:cstheme="majorBidi"/>
        </w:rPr>
        <w:t xml:space="preserve"> </w:t>
      </w:r>
    </w:p>
    <w:p w:rsidR="00496502" w:rsidRPr="0086445C" w:rsidRDefault="005E42CC" w:rsidP="0086445C">
      <w:pPr>
        <w:spacing w:line="276" w:lineRule="auto"/>
        <w:rPr>
          <w:rFonts w:asciiTheme="majorBidi" w:hAnsiTheme="majorBidi" w:cstheme="majorBidi"/>
        </w:rPr>
      </w:pPr>
      <w:r w:rsidRPr="0086445C">
        <w:rPr>
          <w:rFonts w:asciiTheme="majorBidi" w:hAnsiTheme="majorBidi" w:cstheme="majorBidi"/>
        </w:rPr>
        <w:t>De nombreux mycètes peuvent bénéficier des produits du métabolisme (résultant de l’assimilation totale du substrat nutritif initial) tels que le méthane, l’acétone et l’</w:t>
      </w:r>
      <w:r w:rsidR="001B4CBA" w:rsidRPr="0086445C">
        <w:rPr>
          <w:rFonts w:asciiTheme="majorBidi" w:hAnsiTheme="majorBidi" w:cstheme="majorBidi"/>
        </w:rPr>
        <w:t>ammoniac</w:t>
      </w:r>
      <w:r w:rsidRPr="0086445C">
        <w:rPr>
          <w:rFonts w:asciiTheme="majorBidi" w:hAnsiTheme="majorBidi" w:cstheme="majorBidi"/>
        </w:rPr>
        <w:t>.</w:t>
      </w:r>
    </w:p>
    <w:p w:rsidR="00D579C7" w:rsidRDefault="00D579C7" w:rsidP="00496502">
      <w:r>
        <w:t xml:space="preserve"> </w:t>
      </w:r>
    </w:p>
    <w:p w:rsidR="00D579C7" w:rsidRDefault="00D579C7" w:rsidP="00D579C7">
      <w:r>
        <w:t xml:space="preserve"> </w:t>
      </w:r>
    </w:p>
    <w:p w:rsidR="00D579C7" w:rsidRDefault="00D579C7" w:rsidP="00D579C7"/>
    <w:p w:rsidR="00D579C7" w:rsidRDefault="00D579C7" w:rsidP="00D579C7"/>
    <w:p w:rsidR="00D579C7" w:rsidRDefault="00D579C7" w:rsidP="00D579C7"/>
    <w:sectPr w:rsidR="00D5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4B21"/>
    <w:multiLevelType w:val="hybridMultilevel"/>
    <w:tmpl w:val="F050D7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1B3A"/>
    <w:multiLevelType w:val="hybridMultilevel"/>
    <w:tmpl w:val="7500E144"/>
    <w:lvl w:ilvl="0" w:tplc="9668A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38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C9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C74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0F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8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E5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0E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0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E5070"/>
    <w:multiLevelType w:val="hybridMultilevel"/>
    <w:tmpl w:val="2AB6E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E12F6"/>
    <w:multiLevelType w:val="hybridMultilevel"/>
    <w:tmpl w:val="BD70F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C"/>
    <w:rsid w:val="00040859"/>
    <w:rsid w:val="000568E4"/>
    <w:rsid w:val="00174C7E"/>
    <w:rsid w:val="001B4CBA"/>
    <w:rsid w:val="00284EAA"/>
    <w:rsid w:val="002A202C"/>
    <w:rsid w:val="002B5FFC"/>
    <w:rsid w:val="002E7CCC"/>
    <w:rsid w:val="00306FC1"/>
    <w:rsid w:val="003A1738"/>
    <w:rsid w:val="003A3C6E"/>
    <w:rsid w:val="003F0FBF"/>
    <w:rsid w:val="004455FC"/>
    <w:rsid w:val="004900B5"/>
    <w:rsid w:val="00496502"/>
    <w:rsid w:val="00502B0C"/>
    <w:rsid w:val="005E42CC"/>
    <w:rsid w:val="007A5172"/>
    <w:rsid w:val="0086445C"/>
    <w:rsid w:val="00966E57"/>
    <w:rsid w:val="0097082F"/>
    <w:rsid w:val="00A27A9D"/>
    <w:rsid w:val="00A56460"/>
    <w:rsid w:val="00AB1B16"/>
    <w:rsid w:val="00D547CA"/>
    <w:rsid w:val="00D579C7"/>
    <w:rsid w:val="00EB305D"/>
    <w:rsid w:val="00F348A9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89AC-2654-4203-AF7B-E9A6158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2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6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6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6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2020-04-26T13:39:00Z</dcterms:created>
  <dcterms:modified xsi:type="dcterms:W3CDTF">2020-04-27T14:51:00Z</dcterms:modified>
</cp:coreProperties>
</file>