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382F" w14:textId="77777777" w:rsidR="004B2CE6" w:rsidRDefault="004B2CE6" w:rsidP="004B2CE6">
      <w:pPr>
        <w:tabs>
          <w:tab w:val="left" w:pos="5007"/>
        </w:tabs>
        <w:jc w:val="right"/>
        <w:rPr>
          <w:rFonts w:ascii="rasol" w:hAnsi="rasol"/>
          <w:sz w:val="32"/>
          <w:szCs w:val="32"/>
          <w:shd w:val="clear" w:color="auto" w:fill="FFFFFF"/>
          <w:rtl/>
        </w:rPr>
      </w:pPr>
    </w:p>
    <w:p w14:paraId="1E4C234A" w14:textId="3A491C60" w:rsidR="004B2CE6" w:rsidRDefault="004B2CE6" w:rsidP="004B2CE6">
      <w:pPr>
        <w:tabs>
          <w:tab w:val="left" w:pos="5007"/>
        </w:tabs>
        <w:ind w:left="5387"/>
        <w:jc w:val="right"/>
        <w:rPr>
          <w:rFonts w:ascii="rasol" w:hAnsi="rasol"/>
          <w:b/>
          <w:bCs/>
          <w:sz w:val="32"/>
          <w:szCs w:val="32"/>
          <w:shd w:val="clear" w:color="auto" w:fill="FFFFFF"/>
          <w:rtl/>
        </w:rPr>
      </w:pPr>
      <w:r w:rsidRPr="005B151B">
        <w:rPr>
          <w:rFonts w:ascii="rasol" w:hAnsi="rasol" w:hint="cs"/>
          <w:b/>
          <w:bCs/>
          <w:sz w:val="32"/>
          <w:szCs w:val="32"/>
          <w:shd w:val="clear" w:color="auto" w:fill="FFFFFF"/>
          <w:rtl/>
        </w:rPr>
        <w:t>أ.عبد الناصر بوعلي</w:t>
      </w:r>
    </w:p>
    <w:p w14:paraId="21D25E27" w14:textId="0CF91F7F" w:rsidR="00611844" w:rsidRDefault="00611844" w:rsidP="004B2CE6">
      <w:pPr>
        <w:tabs>
          <w:tab w:val="left" w:pos="5007"/>
        </w:tabs>
        <w:ind w:left="5387"/>
        <w:jc w:val="right"/>
        <w:rPr>
          <w:rFonts w:ascii="rasol" w:hAnsi="rasol"/>
          <w:b/>
          <w:bCs/>
          <w:sz w:val="32"/>
          <w:szCs w:val="32"/>
          <w:shd w:val="clear" w:color="auto" w:fill="FFFFFF"/>
          <w:rtl/>
        </w:rPr>
      </w:pPr>
      <w:r>
        <w:rPr>
          <w:rFonts w:ascii="rasol" w:hAnsi="rasol" w:hint="cs"/>
          <w:b/>
          <w:bCs/>
          <w:sz w:val="32"/>
          <w:szCs w:val="32"/>
          <w:shd w:val="clear" w:color="auto" w:fill="FFFFFF"/>
          <w:rtl/>
        </w:rPr>
        <w:t>المقياس: نحو الاختلاف في المشرق العربي.</w:t>
      </w:r>
      <w:r w:rsidR="006131B8">
        <w:rPr>
          <w:rFonts w:ascii="rasol" w:hAnsi="rasol" w:hint="cs"/>
          <w:b/>
          <w:bCs/>
          <w:sz w:val="32"/>
          <w:szCs w:val="32"/>
          <w:shd w:val="clear" w:color="auto" w:fill="FFFFFF"/>
          <w:rtl/>
        </w:rPr>
        <w:t xml:space="preserve"> </w:t>
      </w:r>
    </w:p>
    <w:p w14:paraId="69F29AE8" w14:textId="6BE07E4D" w:rsidR="004B2CE6" w:rsidRPr="005B151B" w:rsidRDefault="004B2CE6" w:rsidP="00611844">
      <w:pPr>
        <w:tabs>
          <w:tab w:val="left" w:pos="5007"/>
        </w:tabs>
        <w:ind w:left="5387"/>
        <w:jc w:val="right"/>
        <w:rPr>
          <w:rFonts w:ascii="rasol" w:hAnsi="rasol"/>
          <w:b/>
          <w:bCs/>
          <w:sz w:val="32"/>
          <w:szCs w:val="32"/>
          <w:shd w:val="clear" w:color="auto" w:fill="FFFFFF"/>
          <w:rtl/>
        </w:rPr>
      </w:pPr>
      <w:r>
        <w:rPr>
          <w:rFonts w:ascii="rasol" w:hAnsi="rasol" w:hint="cs"/>
          <w:b/>
          <w:bCs/>
          <w:sz w:val="32"/>
          <w:szCs w:val="32"/>
          <w:shd w:val="clear" w:color="auto" w:fill="FFFFFF"/>
          <w:rtl/>
        </w:rPr>
        <w:t>المستوى: ماستر1 تخصص</w:t>
      </w:r>
      <w:r w:rsidR="00611844">
        <w:rPr>
          <w:rFonts w:ascii="rasol" w:hAnsi="rasol" w:hint="cs"/>
          <w:b/>
          <w:bCs/>
          <w:sz w:val="32"/>
          <w:szCs w:val="32"/>
          <w:shd w:val="clear" w:color="auto" w:fill="FFFFFF"/>
          <w:rtl/>
        </w:rPr>
        <w:t xml:space="preserve"> لسانيات عربية </w:t>
      </w:r>
      <w:r w:rsidR="00611844">
        <w:rPr>
          <w:rFonts w:ascii="rasol" w:hAnsi="rasol"/>
          <w:b/>
          <w:bCs/>
          <w:sz w:val="32"/>
          <w:szCs w:val="32"/>
          <w:shd w:val="clear" w:color="auto" w:fill="FFFFFF"/>
          <w:rtl/>
        </w:rPr>
        <w:t>–</w:t>
      </w:r>
      <w:r w:rsidR="00611844">
        <w:rPr>
          <w:rFonts w:ascii="rasol" w:hAnsi="rasol" w:hint="cs"/>
          <w:b/>
          <w:bCs/>
          <w:sz w:val="32"/>
          <w:szCs w:val="32"/>
          <w:shd w:val="clear" w:color="auto" w:fill="FFFFFF"/>
          <w:rtl/>
        </w:rPr>
        <w:t xml:space="preserve"> مج2</w:t>
      </w:r>
      <w:r>
        <w:rPr>
          <w:rFonts w:ascii="rasol" w:hAnsi="rasol" w:hint="cs"/>
          <w:b/>
          <w:bCs/>
          <w:sz w:val="32"/>
          <w:szCs w:val="32"/>
          <w:shd w:val="clear" w:color="auto" w:fill="FFFFFF"/>
          <w:rtl/>
        </w:rPr>
        <w:t xml:space="preserve"> </w:t>
      </w:r>
    </w:p>
    <w:p w14:paraId="1B2DABFF" w14:textId="77777777" w:rsidR="004B2CE6" w:rsidRDefault="004B2CE6" w:rsidP="004B2CE6">
      <w:pPr>
        <w:tabs>
          <w:tab w:val="left" w:pos="5007"/>
        </w:tabs>
        <w:jc w:val="right"/>
        <w:rPr>
          <w:rFonts w:ascii="rasol" w:hAnsi="rasol"/>
          <w:sz w:val="32"/>
          <w:szCs w:val="32"/>
          <w:shd w:val="clear" w:color="auto" w:fill="FFFFFF"/>
          <w:rtl/>
        </w:rPr>
      </w:pPr>
    </w:p>
    <w:p w14:paraId="3074778B" w14:textId="2E82D41F" w:rsidR="004B2CE6" w:rsidRPr="00700DAF" w:rsidRDefault="00700DAF" w:rsidP="00700DAF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eastAsia="fr-FR"/>
        </w:rPr>
      </w:pPr>
      <w:r w:rsidRPr="00700DAF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rtl/>
          <w:lang w:eastAsia="fr-FR"/>
        </w:rPr>
        <w:t xml:space="preserve">     </w:t>
      </w:r>
      <w:r w:rsidR="004B2CE6" w:rsidRPr="00700DAF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rtl/>
          <w:lang w:eastAsia="fr-FR"/>
        </w:rPr>
        <w:t xml:space="preserve">عنوان المحاضرة: </w:t>
      </w:r>
      <w:r w:rsidRPr="00700DAF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="004B2CE6" w:rsidRPr="00700DAF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rtl/>
          <w:lang w:eastAsia="fr-FR"/>
        </w:rPr>
        <w:t xml:space="preserve"> الاختلافُ في ن</w:t>
      </w:r>
      <w:r w:rsidR="004B2CE6" w:rsidRPr="00700DAF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eastAsia="fr-FR"/>
        </w:rPr>
        <w:t>اصب</w:t>
      </w:r>
      <w:r w:rsidR="004B2CE6" w:rsidRPr="00700DAF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rtl/>
          <w:lang w:eastAsia="fr-FR"/>
        </w:rPr>
        <w:t>ِ</w:t>
      </w:r>
      <w:r w:rsidR="004B2CE6" w:rsidRPr="00700DAF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eastAsia="fr-FR"/>
        </w:rPr>
        <w:t xml:space="preserve"> المفعول معه</w:t>
      </w:r>
      <w:r w:rsidR="004B2CE6" w:rsidRPr="00700DAF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rtl/>
          <w:lang w:eastAsia="fr-FR"/>
        </w:rPr>
        <w:t>،</w:t>
      </w:r>
      <w:r w:rsidR="004B2CE6" w:rsidRPr="00700DAF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eastAsia="fr-FR"/>
        </w:rPr>
        <w:t xml:space="preserve"> وناصب المستثنى</w:t>
      </w:r>
      <w:r w:rsidR="004B2CE6" w:rsidRPr="00700DAF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rtl/>
          <w:lang w:eastAsia="fr-FR"/>
        </w:rPr>
        <w:t>.</w:t>
      </w:r>
    </w:p>
    <w:p w14:paraId="7F1ACFA2" w14:textId="77777777" w:rsidR="004B2CE6" w:rsidRPr="005B151B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</w:p>
    <w:p w14:paraId="429C6646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</w:pPr>
      <w:r w:rsidRPr="005B151B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أولاً: ناصب المفعول معه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/>
        </w:rPr>
        <w:t>:</w:t>
      </w:r>
    </w:p>
    <w:p w14:paraId="050C5EFB" w14:textId="77777777" w:rsidR="004B2CE6" w:rsidRPr="005B151B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14:paraId="46A4649A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  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اختلف البصريون والكوفيون في العامل في المفعول معه، نحو: </w:t>
      </w:r>
      <w:r w:rsidRPr="005B151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  <w:t>جئت وخالدًا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؛ وذلك لعدم وجود عامل ظاهر يمكن نسبة العمل إليه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</w:p>
    <w:p w14:paraId="2BB4423C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  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فالفعل لازم، والفعل اللازم ضعيفٌ لا يقوى على عمل النصب في المفعول معه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</w:p>
    <w:p w14:paraId="3D5DCCEA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 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ولهذا قال الكوفيون بالخلاف، بينما ذهب البصريون إلى أنَّه منصوب بالفعل المتقدِّم بوساطة الواو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</w:p>
    <w:p w14:paraId="528B1409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 وعند ت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عرض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نا 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لهذا الخلاف ورأي كلِّ فريق، ون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ن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اقش الأدلَّة والحجج، و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نبين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ما في بعضها من ضعف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نخلص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إلى أنَّ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:</w:t>
      </w:r>
    </w:p>
    <w:p w14:paraId="3C8C6DBE" w14:textId="77777777" w:rsidR="004B2CE6" w:rsidRPr="005B151B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"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المعنى هو الذي نصب هذا الاسم، فقد كانت الحركة الإعرابية أداةً طيِّعة على لسان العربي في عصر الس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ّ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ليقة اللغوية، يستخدمها للتعبير عمَّا في نفسه، فلمَّا أراد معنى الجمع فإنَّه غيَّر الحركة إلى الن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ّ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صب ليفيد معنى المعيَّة بأقصر عبارة وأوجز لفظ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.</w:t>
      </w:r>
    </w:p>
    <w:p w14:paraId="725AEF02" w14:textId="77777777" w:rsidR="004B2CE6" w:rsidRPr="005B151B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 </w:t>
      </w:r>
    </w:p>
    <w:p w14:paraId="25900987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</w:pPr>
      <w:r w:rsidRPr="005B151B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ثانيًا: ناصب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/>
        </w:rPr>
        <w:t>ُ</w:t>
      </w:r>
      <w:r w:rsidRPr="005B151B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 المستثنى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/>
        </w:rPr>
        <w:t>:</w:t>
      </w:r>
    </w:p>
    <w:p w14:paraId="21CA45CE" w14:textId="77777777" w:rsidR="004B2CE6" w:rsidRPr="005B151B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14:paraId="67E4A76E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اختلف النُّحاة في ناصب المستثنى في نحو</w:t>
      </w:r>
      <w:r w:rsidRPr="005B151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  <w:t>: جاء القوم إلا زيدًا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، أو </w:t>
      </w:r>
      <w:r w:rsidRPr="005B151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  <w:t>رأيت القوم إلا زيدًا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</w:p>
    <w:p w14:paraId="49F81E9F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ذلك لعدم وجود عاملٍ ظاهرٍ يمكن نسبة العمل إليه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</w:p>
    <w:p w14:paraId="4EBB96AC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فالفعل إمَّا أنْ يكون لازمًا، واللازم لا يقوى على هذا العمل، وإمَّا أنْ يكون متعديًا لمفعولٍ واحد، وقد استوفى هذا المفعول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</w:p>
    <w:p w14:paraId="0D902751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ونتيجةً لهذا اختلف النُّحاة اختلافًا واسعًا؛ فذهب جمهور البصريين إلى أنَّ العامل فيه هو الفعل بوساطة إل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َّ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ا، وذهب بعضٌ من البصريين إلى أنَّ العامل هو الفعل فقط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</w:p>
    <w:p w14:paraId="6E41184D" w14:textId="77777777" w:rsidR="004B2CE6" w:rsidRPr="005B151B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بينما ذهب المبر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ِّ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د إلى أنَّ العامل فعلٌ محذوف، أمَّا الجرجاني فقد كان له رأي مستقلٌّ حيث ذهب إلى أنِّ العامل هو (إل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َّ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ا)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.</w:t>
      </w:r>
    </w:p>
    <w:p w14:paraId="524E45EC" w14:textId="77777777" w:rsidR="004B2CE6" w:rsidRPr="005B151B" w:rsidRDefault="004B2CE6" w:rsidP="004B2CE6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32"/>
          <w:szCs w:val="32"/>
          <w:lang w:eastAsia="fr-FR"/>
        </w:rPr>
      </w:pPr>
      <w:r w:rsidRPr="005B151B">
        <w:rPr>
          <w:rFonts w:ascii="Tahoma" w:eastAsia="Times New Roman" w:hAnsi="Tahoma" w:cs="Tahoma"/>
          <w:color w:val="000000"/>
          <w:sz w:val="32"/>
          <w:szCs w:val="32"/>
          <w:lang w:eastAsia="fr-FR"/>
        </w:rPr>
        <w:t> </w:t>
      </w:r>
    </w:p>
    <w:p w14:paraId="1FDD43A1" w14:textId="77777777" w:rsidR="004B2CE6" w:rsidRPr="005B151B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أمَّا الكوفيون فقد اختلفوا فيما بينهم أيضًا، فذهب الفر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َّ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اء إلى أنَّ (إلا) مركبة من (إن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ْ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) التي للتوكيد و(لا) النافية، فالن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ّ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صب بـ(إن) والإتباع بـ(لا) العاطفة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.</w:t>
      </w:r>
    </w:p>
    <w:p w14:paraId="0678499D" w14:textId="77777777" w:rsidR="004B2CE6" w:rsidRPr="005B151B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lastRenderedPageBreak/>
        <w:t> </w:t>
      </w:r>
    </w:p>
    <w:p w14:paraId="4FACC282" w14:textId="77777777" w:rsidR="004B2CE6" w:rsidRPr="005B151B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أمَّا الكسائي فقد كان له في هذه المسألة رأيان: ذهب في الأول أنَّ المستثنى منصوب بـ(أن) محذوفة، والتقدير: </w:t>
      </w:r>
      <w:r w:rsidRPr="008B080C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جاء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</w:t>
      </w:r>
      <w:r w:rsidRPr="005B151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  <w:t>القوم إلا أنَّ زيدًا لم يأتِ،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وذهب في الرأي الثاني إلى أنَّ العامل في المستثنى هو معنى المخالفة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.</w:t>
      </w:r>
    </w:p>
    <w:p w14:paraId="31AED117" w14:textId="77777777" w:rsidR="004B2CE6" w:rsidRPr="005B151B" w:rsidRDefault="004B2CE6" w:rsidP="004B2CE6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32"/>
          <w:szCs w:val="32"/>
          <w:lang w:eastAsia="fr-FR"/>
        </w:rPr>
      </w:pPr>
      <w:r w:rsidRPr="005B151B">
        <w:rPr>
          <w:rFonts w:ascii="Tahoma" w:eastAsia="Times New Roman" w:hAnsi="Tahoma" w:cs="Tahoma"/>
          <w:color w:val="000000"/>
          <w:sz w:val="32"/>
          <w:szCs w:val="32"/>
          <w:lang w:eastAsia="fr-FR"/>
        </w:rPr>
        <w:t> </w:t>
      </w:r>
    </w:p>
    <w:p w14:paraId="1A982D5C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وقد عرض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نا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لكلِّ هذه الآراء المتشعِّبة وحجج أصحابها، وناقش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نا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ها م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ُ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بي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نين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ما فيها من قوَّةٍ ومن ضعف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ٍ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بالحجَّة والد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َّ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ليل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</w:p>
    <w:p w14:paraId="5B10D945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ثم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نختم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المسألة بخاتمةٍ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مفادها </w:t>
      </w:r>
      <w:r w:rsidRPr="005B151B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 xml:space="preserve"> أنَّ الناصب للمستثنى ليس الفعل أو (إلا) أو معنى المخالفة... إلخ، وإنما الناصب له هو تمام الكلام، كما يرى ابن عصفور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.</w:t>
      </w:r>
    </w:p>
    <w:p w14:paraId="306C0468" w14:textId="77777777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</w:t>
      </w:r>
    </w:p>
    <w:p w14:paraId="3AF1E98A" w14:textId="40F6EC40" w:rsidR="004B2CE6" w:rsidRDefault="004B2CE6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</w:pPr>
      <w:r w:rsidRPr="008B080C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الت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ّ</w:t>
      </w:r>
      <w:r w:rsidRPr="008B080C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طبيق:</w:t>
      </w:r>
    </w:p>
    <w:p w14:paraId="5BD23C26" w14:textId="77777777" w:rsidR="005C28FA" w:rsidRDefault="005C28FA" w:rsidP="004B2CE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</w:pPr>
    </w:p>
    <w:p w14:paraId="6D993237" w14:textId="77777777" w:rsidR="004B2CE6" w:rsidRDefault="004B2CE6" w:rsidP="004B2CE6">
      <w:pPr>
        <w:pStyle w:val="ListParagraph"/>
        <w:spacing w:after="0" w:line="240" w:lineRule="auto"/>
        <w:ind w:left="450"/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أيُّ الآراء تراه أنسب؟ علل.</w:t>
      </w:r>
    </w:p>
    <w:p w14:paraId="29285514" w14:textId="77777777" w:rsidR="004B2CE6" w:rsidRDefault="004B2CE6" w:rsidP="004B2CE6">
      <w:pPr>
        <w:pStyle w:val="ListParagraph"/>
        <w:spacing w:after="0" w:line="240" w:lineRule="auto"/>
        <w:ind w:left="450"/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أعرب:</w:t>
      </w:r>
    </w:p>
    <w:p w14:paraId="0B54A5BA" w14:textId="77777777" w:rsidR="004B2CE6" w:rsidRDefault="004B2CE6" w:rsidP="004B2CE6">
      <w:pPr>
        <w:pStyle w:val="ListParagraph"/>
        <w:spacing w:after="0" w:line="240" w:lineRule="auto"/>
        <w:ind w:left="450"/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 سار الجندُ والشّاطئَ</w:t>
      </w:r>
    </w:p>
    <w:p w14:paraId="496692A8" w14:textId="77777777" w:rsidR="004B2CE6" w:rsidRDefault="004B2CE6" w:rsidP="004B2CE6">
      <w:pPr>
        <w:pStyle w:val="ListParagraph"/>
        <w:spacing w:after="0" w:line="240" w:lineRule="auto"/>
        <w:ind w:left="450"/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وما لنا إلا اتباع أحمد.</w:t>
      </w:r>
    </w:p>
    <w:p w14:paraId="7F1518CF" w14:textId="77777777" w:rsidR="004B2CE6" w:rsidRDefault="004B2CE6" w:rsidP="004B2CE6">
      <w:pPr>
        <w:pStyle w:val="ListParagraph"/>
        <w:spacing w:after="0" w:line="240" w:lineRule="auto"/>
        <w:ind w:left="450"/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اذكر سنة وفاة: الفراء 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  <w:t>–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 المبرد 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  <w:t>–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 الكسائي 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  <w:t>–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 ابن عصفور 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  <w:t>–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 الجرجاني، وبين ماذا تستنتج من تطور في الدرس النحوي بين هؤلاء.</w:t>
      </w:r>
    </w:p>
    <w:p w14:paraId="6765BEF9" w14:textId="77777777" w:rsidR="004B2CE6" w:rsidRPr="008B080C" w:rsidRDefault="004B2CE6" w:rsidP="004B2CE6">
      <w:pPr>
        <w:pStyle w:val="ListParagraph"/>
        <w:spacing w:after="0" w:line="240" w:lineRule="auto"/>
        <w:ind w:left="450"/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أرجعْ إلى كتاب: النصاف في مسائل الخلاف وبين رأي صاحبه في هذه المسألة. </w:t>
      </w:r>
    </w:p>
    <w:p w14:paraId="455C4760" w14:textId="77777777" w:rsidR="004B2CE6" w:rsidRPr="005B151B" w:rsidRDefault="004B2CE6" w:rsidP="004B2C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fr-FR"/>
        </w:rPr>
      </w:pPr>
      <w:r w:rsidRPr="005B151B">
        <w:rPr>
          <w:rFonts w:ascii="Tahoma" w:eastAsia="Times New Roman" w:hAnsi="Tahoma" w:cs="Tahoma"/>
          <w:color w:val="000000"/>
          <w:sz w:val="21"/>
          <w:szCs w:val="21"/>
          <w:lang w:eastAsia="fr-FR"/>
        </w:rPr>
        <w:t> </w:t>
      </w:r>
    </w:p>
    <w:p w14:paraId="002AFD74" w14:textId="77777777" w:rsidR="004B2CE6" w:rsidRDefault="004B2CE6" w:rsidP="004B2CE6">
      <w:pPr>
        <w:tabs>
          <w:tab w:val="left" w:pos="5007"/>
        </w:tabs>
        <w:jc w:val="right"/>
        <w:rPr>
          <w:rFonts w:ascii="rasol" w:hAnsi="rasol"/>
          <w:sz w:val="32"/>
          <w:szCs w:val="32"/>
          <w:shd w:val="clear" w:color="auto" w:fill="FFFFFF"/>
          <w:rtl/>
        </w:rPr>
      </w:pPr>
    </w:p>
    <w:p w14:paraId="0C49FAE0" w14:textId="77777777" w:rsidR="004B2CE6" w:rsidRDefault="004B2CE6" w:rsidP="004B2CE6">
      <w:pPr>
        <w:tabs>
          <w:tab w:val="left" w:pos="5007"/>
        </w:tabs>
        <w:jc w:val="right"/>
        <w:rPr>
          <w:rFonts w:ascii="rasol" w:hAnsi="rasol"/>
          <w:sz w:val="32"/>
          <w:szCs w:val="32"/>
          <w:shd w:val="clear" w:color="auto" w:fill="FFFFFF"/>
          <w:rtl/>
        </w:rPr>
      </w:pPr>
    </w:p>
    <w:p w14:paraId="0D2A0B8B" w14:textId="77777777" w:rsidR="004B2CE6" w:rsidRDefault="004B2CE6" w:rsidP="004B2CE6">
      <w:pPr>
        <w:tabs>
          <w:tab w:val="left" w:pos="5007"/>
        </w:tabs>
        <w:jc w:val="right"/>
        <w:rPr>
          <w:rFonts w:ascii="rasol" w:hAnsi="rasol"/>
          <w:sz w:val="32"/>
          <w:szCs w:val="32"/>
          <w:shd w:val="clear" w:color="auto" w:fill="FFFFFF"/>
          <w:rtl/>
        </w:rPr>
      </w:pPr>
    </w:p>
    <w:p w14:paraId="21097CC6" w14:textId="77777777" w:rsidR="004B2CE6" w:rsidRDefault="004B2CE6" w:rsidP="004B2CE6">
      <w:pPr>
        <w:tabs>
          <w:tab w:val="left" w:pos="5007"/>
        </w:tabs>
        <w:jc w:val="right"/>
        <w:rPr>
          <w:rFonts w:ascii="rasol" w:hAnsi="rasol"/>
          <w:sz w:val="32"/>
          <w:szCs w:val="32"/>
          <w:shd w:val="clear" w:color="auto" w:fill="FFFFFF"/>
          <w:rtl/>
        </w:rPr>
      </w:pPr>
    </w:p>
    <w:p w14:paraId="040485BD" w14:textId="77777777" w:rsidR="004B2CE6" w:rsidRDefault="004B2CE6" w:rsidP="004B2CE6">
      <w:pPr>
        <w:tabs>
          <w:tab w:val="left" w:pos="5007"/>
        </w:tabs>
        <w:jc w:val="right"/>
        <w:rPr>
          <w:rFonts w:ascii="rasol" w:hAnsi="rasol"/>
          <w:sz w:val="32"/>
          <w:szCs w:val="32"/>
          <w:shd w:val="clear" w:color="auto" w:fill="FFFFFF"/>
          <w:rtl/>
        </w:rPr>
      </w:pPr>
    </w:p>
    <w:p w14:paraId="74C2DFEB" w14:textId="77777777" w:rsidR="0014112F" w:rsidRDefault="0014112F" w:rsidP="004B2CE6">
      <w:pPr>
        <w:jc w:val="right"/>
      </w:pPr>
    </w:p>
    <w:sectPr w:rsidR="00141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2F"/>
    <w:rsid w:val="0014112F"/>
    <w:rsid w:val="004B2CE6"/>
    <w:rsid w:val="005C28FA"/>
    <w:rsid w:val="00611844"/>
    <w:rsid w:val="006131B8"/>
    <w:rsid w:val="0070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A01E"/>
  <w15:chartTrackingRefBased/>
  <w15:docId w15:val="{1F4EE770-39FB-47C9-87A0-B07D130A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abdennaceur bouali</dc:creator>
  <cp:keywords/>
  <dc:description/>
  <cp:lastModifiedBy>abdennaceur bouali</cp:lastModifiedBy>
  <cp:revision>23</cp:revision>
  <dcterms:created xsi:type="dcterms:W3CDTF">2020-04-26T12:49:00Z</dcterms:created>
  <dcterms:modified xsi:type="dcterms:W3CDTF">2020-04-26T13:16:00Z</dcterms:modified>
</cp:coreProperties>
</file>