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2BA" w:rsidRDefault="008868C4" w:rsidP="000F356C">
      <w:pPr>
        <w:rPr>
          <w:rFonts w:asciiTheme="majorBidi" w:hAnsiTheme="majorBidi" w:cstheme="majorBidi"/>
          <w:b/>
          <w:bCs/>
          <w:sz w:val="32"/>
          <w:szCs w:val="32"/>
        </w:rPr>
      </w:pPr>
      <w:r w:rsidRPr="008868C4">
        <w:rPr>
          <w:rFonts w:asciiTheme="majorBidi" w:hAnsiTheme="majorBidi" w:cstheme="majorBidi"/>
          <w:sz w:val="24"/>
          <w:szCs w:val="24"/>
        </w:rPr>
        <w:t xml:space="preserve">Chapitre </w:t>
      </w:r>
      <w:proofErr w:type="gramStart"/>
      <w:r w:rsidRPr="008868C4">
        <w:rPr>
          <w:rFonts w:asciiTheme="majorBidi" w:hAnsiTheme="majorBidi" w:cstheme="majorBidi"/>
          <w:sz w:val="24"/>
          <w:szCs w:val="24"/>
        </w:rPr>
        <w:t>IV</w:t>
      </w:r>
      <w:r w:rsidR="000F356C">
        <w:rPr>
          <w:rFonts w:asciiTheme="majorBidi" w:hAnsiTheme="majorBidi" w:cstheme="majorBidi"/>
          <w:sz w:val="24"/>
          <w:szCs w:val="24"/>
        </w:rPr>
        <w:t xml:space="preserve">  </w:t>
      </w:r>
      <w:r w:rsidR="000F356C">
        <w:rPr>
          <w:rFonts w:asciiTheme="majorBidi" w:hAnsiTheme="majorBidi" w:cstheme="majorBidi"/>
          <w:sz w:val="24"/>
          <w:szCs w:val="24"/>
        </w:rPr>
        <w:tab/>
      </w:r>
      <w:proofErr w:type="gramEnd"/>
      <w:r w:rsidR="000F356C">
        <w:rPr>
          <w:rFonts w:asciiTheme="majorBidi" w:hAnsiTheme="majorBidi" w:cstheme="majorBidi"/>
          <w:sz w:val="24"/>
          <w:szCs w:val="24"/>
        </w:rPr>
        <w:tab/>
      </w:r>
      <w:r>
        <w:rPr>
          <w:rFonts w:asciiTheme="majorBidi" w:hAnsiTheme="majorBidi" w:cstheme="majorBidi"/>
          <w:sz w:val="24"/>
          <w:szCs w:val="24"/>
        </w:rPr>
        <w:tab/>
      </w:r>
      <w:r w:rsidRPr="000F356C">
        <w:rPr>
          <w:rFonts w:asciiTheme="majorBidi" w:hAnsiTheme="majorBidi" w:cstheme="majorBidi"/>
          <w:b/>
          <w:bCs/>
          <w:sz w:val="32"/>
          <w:szCs w:val="32"/>
        </w:rPr>
        <w:t>BESOINS EN ELEMENTS MINERAUX</w:t>
      </w:r>
    </w:p>
    <w:p w:rsidR="000F356C" w:rsidRDefault="000F356C" w:rsidP="000F356C">
      <w:pPr>
        <w:jc w:val="both"/>
        <w:rPr>
          <w:rFonts w:asciiTheme="majorBidi" w:hAnsiTheme="majorBidi" w:cstheme="majorBidi"/>
          <w:b/>
          <w:bCs/>
          <w:sz w:val="32"/>
          <w:szCs w:val="32"/>
        </w:rPr>
      </w:pPr>
    </w:p>
    <w:p w:rsidR="000F356C" w:rsidRDefault="000F356C" w:rsidP="000F356C">
      <w:pPr>
        <w:jc w:val="both"/>
        <w:rPr>
          <w:rFonts w:asciiTheme="majorBidi" w:hAnsiTheme="majorBidi" w:cstheme="majorBidi"/>
          <w:b/>
          <w:bCs/>
          <w:sz w:val="32"/>
          <w:szCs w:val="32"/>
        </w:rPr>
      </w:pPr>
    </w:p>
    <w:p w:rsidR="000F356C" w:rsidRDefault="000F356C" w:rsidP="000F356C">
      <w:pPr>
        <w:jc w:val="both"/>
        <w:rPr>
          <w:rFonts w:asciiTheme="majorBidi" w:hAnsiTheme="majorBidi" w:cstheme="majorBidi"/>
          <w:b/>
          <w:bCs/>
          <w:sz w:val="32"/>
          <w:szCs w:val="32"/>
        </w:rPr>
      </w:pPr>
    </w:p>
    <w:p w:rsidR="000F356C" w:rsidRDefault="000F356C" w:rsidP="000F356C">
      <w:pPr>
        <w:jc w:val="both"/>
        <w:rPr>
          <w:rFonts w:asciiTheme="majorBidi" w:hAnsiTheme="majorBidi" w:cstheme="majorBidi"/>
          <w:sz w:val="24"/>
          <w:szCs w:val="24"/>
        </w:rPr>
      </w:pPr>
      <w:r>
        <w:rPr>
          <w:rFonts w:asciiTheme="majorBidi" w:hAnsiTheme="majorBidi" w:cstheme="majorBidi"/>
          <w:sz w:val="24"/>
          <w:szCs w:val="24"/>
        </w:rPr>
        <w:t>Jadis considérée comme une question résolue, la détermination des besoins des cultures reste toujours d’actualité avec l’avènement de nouvelles techniques de production, la création de nouvelles variétés à haut rendement et les questions de protection de l’environnement.</w:t>
      </w:r>
    </w:p>
    <w:p w:rsidR="000F356C" w:rsidRDefault="000F356C" w:rsidP="000F356C">
      <w:pPr>
        <w:jc w:val="both"/>
        <w:rPr>
          <w:rFonts w:asciiTheme="majorBidi" w:hAnsiTheme="majorBidi" w:cstheme="majorBidi"/>
          <w:b/>
          <w:bCs/>
          <w:sz w:val="24"/>
          <w:szCs w:val="24"/>
        </w:rPr>
      </w:pPr>
      <w:r w:rsidRPr="000F356C">
        <w:rPr>
          <w:rFonts w:asciiTheme="majorBidi" w:hAnsiTheme="majorBidi" w:cstheme="majorBidi"/>
          <w:b/>
          <w:bCs/>
          <w:sz w:val="24"/>
          <w:szCs w:val="24"/>
        </w:rPr>
        <w:t>IV.1. Notions d’équilibre n</w:t>
      </w:r>
      <w:r>
        <w:rPr>
          <w:rFonts w:asciiTheme="majorBidi" w:hAnsiTheme="majorBidi" w:cstheme="majorBidi"/>
          <w:b/>
          <w:bCs/>
          <w:sz w:val="24"/>
          <w:szCs w:val="24"/>
        </w:rPr>
        <w:t>u</w:t>
      </w:r>
      <w:r w:rsidRPr="000F356C">
        <w:rPr>
          <w:rFonts w:asciiTheme="majorBidi" w:hAnsiTheme="majorBidi" w:cstheme="majorBidi"/>
          <w:b/>
          <w:bCs/>
          <w:sz w:val="24"/>
          <w:szCs w:val="24"/>
        </w:rPr>
        <w:t>tritionnel</w:t>
      </w:r>
    </w:p>
    <w:p w:rsidR="000F356C" w:rsidRDefault="000F356C" w:rsidP="000F356C">
      <w:pPr>
        <w:jc w:val="both"/>
        <w:rPr>
          <w:rFonts w:asciiTheme="majorBidi" w:hAnsiTheme="majorBidi" w:cstheme="majorBidi"/>
          <w:sz w:val="24"/>
          <w:szCs w:val="24"/>
        </w:rPr>
      </w:pPr>
      <w:r w:rsidRPr="000F356C">
        <w:rPr>
          <w:rFonts w:asciiTheme="majorBidi" w:hAnsiTheme="majorBidi" w:cstheme="majorBidi"/>
          <w:sz w:val="24"/>
          <w:szCs w:val="24"/>
        </w:rPr>
        <w:t xml:space="preserve">De </w:t>
      </w:r>
      <w:r>
        <w:rPr>
          <w:rFonts w:asciiTheme="majorBidi" w:hAnsiTheme="majorBidi" w:cstheme="majorBidi"/>
          <w:sz w:val="24"/>
          <w:szCs w:val="24"/>
        </w:rPr>
        <w:t xml:space="preserve">manière simplifiée, nous pouvons distinguer trois états impliquant la plante dans sa relation </w:t>
      </w:r>
      <w:r w:rsidR="007564FC">
        <w:rPr>
          <w:rFonts w:asciiTheme="majorBidi" w:hAnsiTheme="majorBidi" w:cstheme="majorBidi"/>
          <w:sz w:val="24"/>
          <w:szCs w:val="24"/>
        </w:rPr>
        <w:t xml:space="preserve">avec </w:t>
      </w:r>
      <w:r>
        <w:rPr>
          <w:rFonts w:asciiTheme="majorBidi" w:hAnsiTheme="majorBidi" w:cstheme="majorBidi"/>
          <w:sz w:val="24"/>
          <w:szCs w:val="24"/>
        </w:rPr>
        <w:t>son apport d’éléments nutritif</w:t>
      </w:r>
      <w:r w:rsidR="008D0C83">
        <w:rPr>
          <w:rFonts w:asciiTheme="majorBidi" w:hAnsiTheme="majorBidi" w:cstheme="majorBidi"/>
          <w:sz w:val="24"/>
          <w:szCs w:val="24"/>
        </w:rPr>
        <w:t>s : la carence, l’état d’équilibre et la toxicité. Ces états sont schématisés à la figure 11.3</w:t>
      </w:r>
      <w:r w:rsidR="002B0337">
        <w:rPr>
          <w:rFonts w:asciiTheme="majorBidi" w:hAnsiTheme="majorBidi" w:cstheme="majorBidi"/>
          <w:sz w:val="24"/>
          <w:szCs w:val="24"/>
        </w:rPr>
        <w:t>.</w:t>
      </w:r>
    </w:p>
    <w:p w:rsidR="002B0337" w:rsidRDefault="002B0337" w:rsidP="000F356C">
      <w:pPr>
        <w:jc w:val="both"/>
        <w:rPr>
          <w:rFonts w:asciiTheme="majorBidi" w:hAnsiTheme="majorBidi" w:cstheme="majorBidi"/>
          <w:sz w:val="24"/>
          <w:szCs w:val="24"/>
        </w:rPr>
      </w:pPr>
    </w:p>
    <w:p w:rsidR="002B0337" w:rsidRDefault="002B0337" w:rsidP="000F356C">
      <w:pPr>
        <w:jc w:val="both"/>
        <w:rPr>
          <w:rFonts w:asciiTheme="majorBidi" w:hAnsiTheme="majorBidi" w:cstheme="majorBidi"/>
          <w:sz w:val="24"/>
          <w:szCs w:val="24"/>
        </w:rPr>
      </w:pPr>
    </w:p>
    <w:p w:rsidR="002B0337" w:rsidRDefault="002B0337" w:rsidP="000F356C">
      <w:pPr>
        <w:jc w:val="both"/>
        <w:rPr>
          <w:rFonts w:asciiTheme="majorBidi" w:hAnsiTheme="majorBidi" w:cstheme="majorBidi"/>
          <w:sz w:val="24"/>
          <w:szCs w:val="24"/>
        </w:rPr>
      </w:pPr>
    </w:p>
    <w:p w:rsidR="002B0337" w:rsidRDefault="002B0337" w:rsidP="002B0337">
      <w:pPr>
        <w:jc w:val="both"/>
        <w:rPr>
          <w:rFonts w:asciiTheme="majorBidi" w:hAnsiTheme="majorBidi" w:cstheme="majorBidi"/>
          <w:sz w:val="24"/>
          <w:szCs w:val="24"/>
        </w:rPr>
      </w:pPr>
    </w:p>
    <w:p w:rsidR="006F0DFF" w:rsidRDefault="006F0DFF" w:rsidP="002B0337">
      <w:pPr>
        <w:jc w:val="both"/>
        <w:rPr>
          <w:rFonts w:asciiTheme="majorBidi" w:hAnsiTheme="majorBidi" w:cstheme="majorBidi"/>
          <w:sz w:val="24"/>
          <w:szCs w:val="24"/>
        </w:rPr>
      </w:pPr>
    </w:p>
    <w:p w:rsidR="002B0337" w:rsidRDefault="002B0337" w:rsidP="002B0337">
      <w:pPr>
        <w:jc w:val="both"/>
        <w:rPr>
          <w:rFonts w:asciiTheme="majorBidi" w:hAnsiTheme="majorBidi" w:cstheme="majorBidi"/>
          <w:sz w:val="24"/>
          <w:szCs w:val="24"/>
        </w:rPr>
      </w:pPr>
    </w:p>
    <w:p w:rsidR="002B0337" w:rsidRDefault="002B0337" w:rsidP="002B0337">
      <w:pPr>
        <w:jc w:val="both"/>
        <w:rPr>
          <w:rFonts w:asciiTheme="majorBidi" w:hAnsiTheme="majorBidi" w:cstheme="majorBidi"/>
          <w:sz w:val="24"/>
          <w:szCs w:val="24"/>
        </w:rPr>
      </w:pPr>
      <w:r>
        <w:rPr>
          <w:rFonts w:asciiTheme="majorBidi" w:hAnsiTheme="majorBidi" w:cstheme="majorBidi"/>
          <w:sz w:val="24"/>
          <w:szCs w:val="24"/>
        </w:rPr>
        <w:t>Ces états se traduisent dans la composition des tissus par une relation d’allure semblable.</w:t>
      </w:r>
    </w:p>
    <w:p w:rsidR="00CD5674" w:rsidRDefault="002B0337" w:rsidP="00CD5674">
      <w:pPr>
        <w:jc w:val="both"/>
        <w:rPr>
          <w:rFonts w:asciiTheme="majorBidi" w:hAnsiTheme="majorBidi" w:cstheme="majorBidi"/>
          <w:sz w:val="24"/>
          <w:szCs w:val="24"/>
        </w:rPr>
      </w:pPr>
      <w:r>
        <w:rPr>
          <w:rFonts w:asciiTheme="majorBidi" w:hAnsiTheme="majorBidi" w:cstheme="majorBidi"/>
          <w:b/>
          <w:bCs/>
          <w:sz w:val="24"/>
          <w:szCs w:val="24"/>
        </w:rPr>
        <w:t xml:space="preserve">. Les carences. </w:t>
      </w:r>
      <w:r>
        <w:rPr>
          <w:rFonts w:asciiTheme="majorBidi" w:hAnsiTheme="majorBidi" w:cstheme="majorBidi"/>
          <w:sz w:val="24"/>
          <w:szCs w:val="24"/>
        </w:rPr>
        <w:t xml:space="preserve">La carence (ou </w:t>
      </w:r>
      <w:r>
        <w:rPr>
          <w:rFonts w:asciiTheme="majorBidi" w:hAnsiTheme="majorBidi" w:cstheme="majorBidi"/>
          <w:b/>
          <w:bCs/>
          <w:sz w:val="24"/>
          <w:szCs w:val="24"/>
        </w:rPr>
        <w:t xml:space="preserve">déficience) </w:t>
      </w:r>
      <w:r>
        <w:rPr>
          <w:rFonts w:asciiTheme="majorBidi" w:hAnsiTheme="majorBidi" w:cstheme="majorBidi"/>
          <w:sz w:val="24"/>
          <w:szCs w:val="24"/>
        </w:rPr>
        <w:t xml:space="preserve">est une situation d’insuffisance </w:t>
      </w:r>
      <w:r w:rsidR="00CD5674">
        <w:rPr>
          <w:rFonts w:asciiTheme="majorBidi" w:hAnsiTheme="majorBidi" w:cstheme="majorBidi"/>
          <w:sz w:val="24"/>
          <w:szCs w:val="24"/>
        </w:rPr>
        <w:t>d’un élément caractérisée par l’apparition de symptômes. On distingue les carences « vraies » et les carences « induites ».</w:t>
      </w:r>
    </w:p>
    <w:p w:rsidR="006F0DFF" w:rsidRDefault="00CD5674" w:rsidP="00CD5674">
      <w:pPr>
        <w:jc w:val="both"/>
        <w:rPr>
          <w:rFonts w:asciiTheme="majorBidi" w:hAnsiTheme="majorBidi" w:cstheme="majorBidi"/>
          <w:sz w:val="24"/>
          <w:szCs w:val="24"/>
        </w:rPr>
      </w:pPr>
      <w:r w:rsidRPr="006F0DFF">
        <w:rPr>
          <w:rFonts w:asciiTheme="majorBidi" w:hAnsiTheme="majorBidi" w:cstheme="majorBidi"/>
          <w:sz w:val="24"/>
          <w:szCs w:val="24"/>
        </w:rPr>
        <w:t>La</w:t>
      </w:r>
      <w:r>
        <w:rPr>
          <w:rFonts w:asciiTheme="majorBidi" w:hAnsiTheme="majorBidi" w:cstheme="majorBidi"/>
          <w:b/>
          <w:bCs/>
          <w:sz w:val="24"/>
          <w:szCs w:val="24"/>
        </w:rPr>
        <w:t xml:space="preserve"> carence vraie</w:t>
      </w:r>
      <w:r>
        <w:rPr>
          <w:rFonts w:asciiTheme="majorBidi" w:hAnsiTheme="majorBidi" w:cstheme="majorBidi"/>
          <w:sz w:val="24"/>
          <w:szCs w:val="24"/>
        </w:rPr>
        <w:t xml:space="preserve"> est le résultat d’un manque d’élément dans le sol. Cette insuffisance peut être naturelle ou consécutive à l’action épuisante des cultures qui s’y sont succédées.</w:t>
      </w:r>
      <w:r w:rsidR="006F0DFF">
        <w:rPr>
          <w:rFonts w:asciiTheme="majorBidi" w:hAnsiTheme="majorBidi" w:cstheme="majorBidi"/>
          <w:sz w:val="24"/>
          <w:szCs w:val="24"/>
        </w:rPr>
        <w:t xml:space="preserve"> Les éléments majeurs, requis en plus grande quantité sont, davantage que les éléments mineurs, affectés par ce premier type.</w:t>
      </w:r>
    </w:p>
    <w:p w:rsidR="00CD5674" w:rsidRDefault="006F0DFF" w:rsidP="00361124">
      <w:pPr>
        <w:rPr>
          <w:rFonts w:asciiTheme="majorBidi" w:hAnsiTheme="majorBidi" w:cstheme="majorBidi"/>
          <w:sz w:val="24"/>
          <w:szCs w:val="24"/>
        </w:rPr>
      </w:pPr>
      <w:r w:rsidRPr="006F0DFF">
        <w:rPr>
          <w:rFonts w:asciiTheme="majorBidi" w:hAnsiTheme="majorBidi" w:cstheme="majorBidi"/>
          <w:sz w:val="24"/>
          <w:szCs w:val="24"/>
        </w:rPr>
        <w:t>La</w:t>
      </w:r>
      <w:r>
        <w:rPr>
          <w:rFonts w:asciiTheme="majorBidi" w:hAnsiTheme="majorBidi" w:cstheme="majorBidi"/>
          <w:b/>
          <w:bCs/>
          <w:sz w:val="24"/>
          <w:szCs w:val="24"/>
        </w:rPr>
        <w:t xml:space="preserve"> carence « induite »</w:t>
      </w:r>
      <w:r>
        <w:rPr>
          <w:rFonts w:asciiTheme="majorBidi" w:hAnsiTheme="majorBidi" w:cstheme="majorBidi"/>
          <w:sz w:val="24"/>
          <w:szCs w:val="24"/>
        </w:rPr>
        <w:t xml:space="preserve"> survient lorsque l’élément est présent en quantité </w:t>
      </w:r>
      <w:r w:rsidR="00A6304D">
        <w:rPr>
          <w:rFonts w:asciiTheme="majorBidi" w:hAnsiTheme="majorBidi" w:cstheme="majorBidi"/>
          <w:sz w:val="24"/>
          <w:szCs w:val="24"/>
        </w:rPr>
        <w:t>suffisante mais que la plante se trouve dans l’impossibilité d’en faire l’absorption. Les causes peuvent se trouver dans les conditions physico-chimiques qui prévalent dans le sol. Ce sont principalement</w:t>
      </w:r>
      <w:r w:rsidR="00361124">
        <w:rPr>
          <w:rFonts w:asciiTheme="majorBidi" w:hAnsiTheme="majorBidi" w:cstheme="majorBidi"/>
          <w:sz w:val="24"/>
          <w:szCs w:val="24"/>
        </w:rPr>
        <w:t> :                          -</w:t>
      </w:r>
      <w:r w:rsidR="00A6304D">
        <w:rPr>
          <w:rFonts w:asciiTheme="majorBidi" w:hAnsiTheme="majorBidi" w:cstheme="majorBidi"/>
          <w:sz w:val="24"/>
          <w:szCs w:val="24"/>
        </w:rPr>
        <w:t xml:space="preserve"> </w:t>
      </w:r>
      <w:r w:rsidR="007564FC">
        <w:rPr>
          <w:rFonts w:asciiTheme="majorBidi" w:hAnsiTheme="majorBidi" w:cstheme="majorBidi"/>
          <w:sz w:val="24"/>
          <w:szCs w:val="24"/>
        </w:rPr>
        <w:t xml:space="preserve"> </w:t>
      </w:r>
      <w:r w:rsidR="00361124">
        <w:rPr>
          <w:rFonts w:asciiTheme="majorBidi" w:hAnsiTheme="majorBidi" w:cstheme="majorBidi"/>
          <w:sz w:val="24"/>
          <w:szCs w:val="24"/>
        </w:rPr>
        <w:t>trop forte fixation par le sol ;                                                                                                                                           -</w:t>
      </w:r>
      <w:r w:rsidR="00A6304D">
        <w:rPr>
          <w:rFonts w:asciiTheme="majorBidi" w:hAnsiTheme="majorBidi" w:cstheme="majorBidi"/>
          <w:sz w:val="24"/>
          <w:szCs w:val="24"/>
        </w:rPr>
        <w:t xml:space="preserve">  </w:t>
      </w:r>
      <w:r w:rsidR="00361124">
        <w:rPr>
          <w:rFonts w:asciiTheme="majorBidi" w:hAnsiTheme="majorBidi" w:cstheme="majorBidi"/>
          <w:sz w:val="24"/>
          <w:szCs w:val="24"/>
        </w:rPr>
        <w:t>pH excessif ;                                                                                                                                              -</w:t>
      </w:r>
      <w:r>
        <w:rPr>
          <w:rFonts w:asciiTheme="majorBidi" w:hAnsiTheme="majorBidi" w:cstheme="majorBidi"/>
          <w:sz w:val="24"/>
          <w:szCs w:val="24"/>
        </w:rPr>
        <w:t xml:space="preserve"> </w:t>
      </w:r>
      <w:r w:rsidR="007564FC">
        <w:rPr>
          <w:rFonts w:asciiTheme="majorBidi" w:hAnsiTheme="majorBidi" w:cstheme="majorBidi"/>
          <w:sz w:val="24"/>
          <w:szCs w:val="24"/>
        </w:rPr>
        <w:t xml:space="preserve"> </w:t>
      </w:r>
      <w:r w:rsidR="00361124">
        <w:rPr>
          <w:rFonts w:asciiTheme="majorBidi" w:hAnsiTheme="majorBidi" w:cstheme="majorBidi"/>
          <w:sz w:val="24"/>
          <w:szCs w:val="24"/>
        </w:rPr>
        <w:t>antagonismes ou compétition entre éléments.</w:t>
      </w:r>
    </w:p>
    <w:p w:rsidR="00284662" w:rsidRDefault="00361124" w:rsidP="00F06B70">
      <w:pPr>
        <w:jc w:val="both"/>
        <w:rPr>
          <w:rFonts w:asciiTheme="majorBidi" w:hAnsiTheme="majorBidi" w:cstheme="majorBidi"/>
          <w:sz w:val="24"/>
          <w:szCs w:val="24"/>
        </w:rPr>
      </w:pPr>
      <w:r>
        <w:rPr>
          <w:rFonts w:asciiTheme="majorBidi" w:hAnsiTheme="majorBidi" w:cstheme="majorBidi"/>
          <w:sz w:val="24"/>
          <w:szCs w:val="24"/>
        </w:rPr>
        <w:t xml:space="preserve">Les sols à texture sableuse et grossière fixent mal les fertilisants et sont sensibles à la perte par lessivage. Les éléments N, K, </w:t>
      </w:r>
      <w:proofErr w:type="gramStart"/>
      <w:r>
        <w:rPr>
          <w:rFonts w:asciiTheme="majorBidi" w:hAnsiTheme="majorBidi" w:cstheme="majorBidi"/>
          <w:sz w:val="24"/>
          <w:szCs w:val="24"/>
        </w:rPr>
        <w:t>C</w:t>
      </w:r>
      <w:r w:rsidR="005B62CE">
        <w:rPr>
          <w:rFonts w:asciiTheme="majorBidi" w:hAnsiTheme="majorBidi" w:cstheme="majorBidi"/>
          <w:sz w:val="24"/>
          <w:szCs w:val="24"/>
        </w:rPr>
        <w:t>a</w:t>
      </w:r>
      <w:proofErr w:type="gramEnd"/>
      <w:r w:rsidR="005B62CE">
        <w:rPr>
          <w:rFonts w:asciiTheme="majorBidi" w:hAnsiTheme="majorBidi" w:cstheme="majorBidi"/>
          <w:sz w:val="24"/>
          <w:szCs w:val="24"/>
        </w:rPr>
        <w:t xml:space="preserve"> et Mg disparaissent du profil, ce </w:t>
      </w:r>
      <w:r w:rsidR="009D764A">
        <w:rPr>
          <w:rFonts w:asciiTheme="majorBidi" w:hAnsiTheme="majorBidi" w:cstheme="majorBidi"/>
          <w:sz w:val="24"/>
          <w:szCs w:val="24"/>
        </w:rPr>
        <w:t xml:space="preserve">qui augmente le risque de carences vraies. De surcroît, la perte des éléments </w:t>
      </w:r>
      <w:proofErr w:type="gramStart"/>
      <w:r w:rsidR="009D764A">
        <w:rPr>
          <w:rFonts w:asciiTheme="majorBidi" w:hAnsiTheme="majorBidi" w:cstheme="majorBidi"/>
          <w:sz w:val="24"/>
          <w:szCs w:val="24"/>
        </w:rPr>
        <w:t>Ca</w:t>
      </w:r>
      <w:proofErr w:type="gramEnd"/>
      <w:r w:rsidR="009D764A">
        <w:rPr>
          <w:rFonts w:asciiTheme="majorBidi" w:hAnsiTheme="majorBidi" w:cstheme="majorBidi"/>
          <w:sz w:val="24"/>
          <w:szCs w:val="24"/>
        </w:rPr>
        <w:t xml:space="preserve"> et Mg est associée également à une acidification</w:t>
      </w:r>
      <w:r w:rsidR="00F06B70">
        <w:rPr>
          <w:rFonts w:asciiTheme="majorBidi" w:hAnsiTheme="majorBidi" w:cstheme="majorBidi"/>
          <w:sz w:val="24"/>
          <w:szCs w:val="24"/>
        </w:rPr>
        <w:t xml:space="preserve"> du sol qui peut, à son tour, réduire la disponibilité d’autres éléments. Les éléments P, K, </w:t>
      </w:r>
      <w:proofErr w:type="gramStart"/>
      <w:r w:rsidR="00F06B70">
        <w:rPr>
          <w:rFonts w:asciiTheme="majorBidi" w:hAnsiTheme="majorBidi" w:cstheme="majorBidi"/>
          <w:sz w:val="24"/>
          <w:szCs w:val="24"/>
        </w:rPr>
        <w:t>Ca</w:t>
      </w:r>
      <w:proofErr w:type="gramEnd"/>
      <w:r w:rsidR="00F06B70">
        <w:rPr>
          <w:rFonts w:asciiTheme="majorBidi" w:hAnsiTheme="majorBidi" w:cstheme="majorBidi"/>
          <w:sz w:val="24"/>
          <w:szCs w:val="24"/>
        </w:rPr>
        <w:t>, Mg, S et Mo sont donc particulièrement sensibles à cet égard (</w:t>
      </w:r>
      <w:proofErr w:type="spellStart"/>
      <w:r w:rsidR="00F06B70">
        <w:rPr>
          <w:rFonts w:asciiTheme="majorBidi" w:hAnsiTheme="majorBidi" w:cstheme="majorBidi"/>
          <w:sz w:val="24"/>
          <w:szCs w:val="24"/>
        </w:rPr>
        <w:t>Marynard</w:t>
      </w:r>
      <w:proofErr w:type="spellEnd"/>
      <w:r w:rsidR="00F06B70">
        <w:rPr>
          <w:rFonts w:asciiTheme="majorBidi" w:hAnsiTheme="majorBidi" w:cstheme="majorBidi"/>
          <w:sz w:val="24"/>
          <w:szCs w:val="24"/>
        </w:rPr>
        <w:t>. 1979).</w:t>
      </w:r>
    </w:p>
    <w:p w:rsidR="00D1556B" w:rsidRDefault="00D1556B" w:rsidP="00D1556B">
      <w:pPr>
        <w:rPr>
          <w:rFonts w:asciiTheme="majorBidi" w:hAnsiTheme="majorBidi" w:cstheme="majorBidi"/>
          <w:sz w:val="24"/>
          <w:szCs w:val="24"/>
        </w:rPr>
      </w:pPr>
      <w:r>
        <w:rPr>
          <w:rFonts w:asciiTheme="majorBidi" w:hAnsiTheme="majorBidi" w:cstheme="majorBidi"/>
          <w:b/>
          <w:bCs/>
          <w:sz w:val="24"/>
          <w:szCs w:val="24"/>
        </w:rPr>
        <w:lastRenderedPageBreak/>
        <w:t>. L</w:t>
      </w:r>
      <w:r w:rsidR="00284662">
        <w:rPr>
          <w:rFonts w:asciiTheme="majorBidi" w:hAnsiTheme="majorBidi" w:cstheme="majorBidi"/>
          <w:b/>
          <w:bCs/>
          <w:sz w:val="24"/>
          <w:szCs w:val="24"/>
        </w:rPr>
        <w:t>es interactions.</w:t>
      </w:r>
      <w:r w:rsidR="00284662">
        <w:rPr>
          <w:rFonts w:asciiTheme="majorBidi" w:hAnsiTheme="majorBidi" w:cstheme="majorBidi"/>
          <w:sz w:val="24"/>
          <w:szCs w:val="24"/>
        </w:rPr>
        <w:t xml:space="preserve"> Les éléments peuvent </w:t>
      </w:r>
      <w:r>
        <w:rPr>
          <w:rFonts w:asciiTheme="majorBidi" w:hAnsiTheme="majorBidi" w:cstheme="majorBidi"/>
          <w:sz w:val="24"/>
          <w:szCs w:val="24"/>
        </w:rPr>
        <w:t xml:space="preserve">s’influencer mutuellement d’une manière défavorable à l’absorption. Citons quelques exemples : </w:t>
      </w:r>
      <w:r w:rsidR="00F06B70">
        <w:rPr>
          <w:rFonts w:asciiTheme="majorBidi" w:hAnsiTheme="majorBidi" w:cstheme="majorBidi"/>
          <w:sz w:val="24"/>
          <w:szCs w:val="24"/>
        </w:rPr>
        <w:t xml:space="preserve"> </w:t>
      </w:r>
      <w:r w:rsidR="009D764A">
        <w:rPr>
          <w:rFonts w:asciiTheme="majorBidi" w:hAnsiTheme="majorBidi" w:cstheme="majorBidi"/>
          <w:sz w:val="24"/>
          <w:szCs w:val="24"/>
        </w:rPr>
        <w:t xml:space="preserve"> </w:t>
      </w:r>
      <w:r w:rsidR="00F06B70">
        <w:rPr>
          <w:rFonts w:asciiTheme="majorBidi" w:hAnsiTheme="majorBidi" w:cstheme="majorBidi"/>
          <w:sz w:val="24"/>
          <w:szCs w:val="24"/>
        </w:rPr>
        <w:t xml:space="preserve"> </w:t>
      </w:r>
      <w:r>
        <w:rPr>
          <w:rFonts w:asciiTheme="majorBidi" w:hAnsiTheme="majorBidi" w:cstheme="majorBidi"/>
          <w:sz w:val="24"/>
          <w:szCs w:val="24"/>
        </w:rPr>
        <w:t xml:space="preserve">                                                                                   - carence en Mg par excès de K ;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 carence en Zn par excès de P ;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 carence en Mn après chaulage ; </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 carence en K par excès de </w:t>
      </w:r>
      <w:proofErr w:type="gramStart"/>
      <w:r>
        <w:rPr>
          <w:rFonts w:asciiTheme="majorBidi" w:hAnsiTheme="majorBidi" w:cstheme="majorBidi"/>
          <w:sz w:val="24"/>
          <w:szCs w:val="24"/>
        </w:rPr>
        <w:t>Ca</w:t>
      </w:r>
      <w:proofErr w:type="gramEnd"/>
      <w:r>
        <w:rPr>
          <w:rFonts w:asciiTheme="majorBidi" w:hAnsiTheme="majorBidi" w:cstheme="majorBidi"/>
          <w:sz w:val="24"/>
          <w:szCs w:val="24"/>
        </w:rPr>
        <w:t xml:space="preserve"> ou Mg.</w:t>
      </w:r>
    </w:p>
    <w:p w:rsidR="00976DDC" w:rsidRDefault="00D1556B" w:rsidP="00976DDC">
      <w:pPr>
        <w:jc w:val="both"/>
        <w:rPr>
          <w:rFonts w:asciiTheme="majorBidi" w:hAnsiTheme="majorBidi" w:cstheme="majorBidi"/>
          <w:sz w:val="24"/>
          <w:szCs w:val="24"/>
        </w:rPr>
      </w:pPr>
      <w:r>
        <w:rPr>
          <w:rFonts w:asciiTheme="majorBidi" w:hAnsiTheme="majorBidi" w:cstheme="majorBidi"/>
          <w:sz w:val="24"/>
          <w:szCs w:val="24"/>
        </w:rPr>
        <w:t>Le bicarbonate (HCO</w:t>
      </w:r>
      <w:r>
        <w:rPr>
          <w:rFonts w:asciiTheme="majorBidi" w:hAnsiTheme="majorBidi" w:cstheme="majorBidi"/>
          <w:sz w:val="24"/>
          <w:szCs w:val="24"/>
          <w:vertAlign w:val="subscript"/>
        </w:rPr>
        <w:t>3</w:t>
      </w:r>
      <w:r>
        <w:rPr>
          <w:rFonts w:asciiTheme="majorBidi" w:hAnsiTheme="majorBidi" w:cstheme="majorBidi"/>
          <w:sz w:val="24"/>
          <w:szCs w:val="24"/>
          <w:vertAlign w:val="superscript"/>
        </w:rPr>
        <w:t>-</w:t>
      </w:r>
      <w:r>
        <w:rPr>
          <w:rFonts w:asciiTheme="majorBidi" w:hAnsiTheme="majorBidi" w:cstheme="majorBidi"/>
          <w:sz w:val="24"/>
          <w:szCs w:val="24"/>
        </w:rPr>
        <w:t xml:space="preserve">) peut pénétrer la racine et y augmenter </w:t>
      </w:r>
      <w:r w:rsidR="007D2F19">
        <w:rPr>
          <w:rFonts w:asciiTheme="majorBidi" w:hAnsiTheme="majorBidi" w:cstheme="majorBidi"/>
          <w:sz w:val="24"/>
          <w:szCs w:val="24"/>
        </w:rPr>
        <w:t>le pH. Dans ces conditions, le fer que contient la racine devient inutilisable et des symptômes de carence se manifestent. Ce phénomène est connu sous le nom de « </w:t>
      </w:r>
      <w:r w:rsidR="007D2F19">
        <w:rPr>
          <w:rFonts w:asciiTheme="majorBidi" w:hAnsiTheme="majorBidi" w:cstheme="majorBidi"/>
          <w:b/>
          <w:bCs/>
          <w:sz w:val="24"/>
          <w:szCs w:val="24"/>
        </w:rPr>
        <w:t>chlorose reliée à l’application de chaux</w:t>
      </w:r>
      <w:r w:rsidR="007D2F19">
        <w:rPr>
          <w:rFonts w:asciiTheme="majorBidi" w:hAnsiTheme="majorBidi" w:cstheme="majorBidi"/>
          <w:sz w:val="24"/>
          <w:szCs w:val="24"/>
        </w:rPr>
        <w:t xml:space="preserve"> ». </w:t>
      </w:r>
      <w:r w:rsidR="00976DDC">
        <w:rPr>
          <w:rFonts w:asciiTheme="majorBidi" w:hAnsiTheme="majorBidi" w:cstheme="majorBidi"/>
          <w:sz w:val="24"/>
          <w:szCs w:val="24"/>
        </w:rPr>
        <w:t>D</w:t>
      </w:r>
      <w:r w:rsidR="007D2F19">
        <w:rPr>
          <w:rFonts w:asciiTheme="majorBidi" w:hAnsiTheme="majorBidi" w:cstheme="majorBidi"/>
          <w:sz w:val="24"/>
          <w:szCs w:val="24"/>
        </w:rPr>
        <w:t xml:space="preserve">es mécanismes ont été identifiés qui permettent à </w:t>
      </w:r>
      <w:r w:rsidR="006F2A59">
        <w:rPr>
          <w:rFonts w:asciiTheme="majorBidi" w:hAnsiTheme="majorBidi" w:cstheme="majorBidi"/>
          <w:sz w:val="24"/>
          <w:szCs w:val="24"/>
        </w:rPr>
        <w:t>certaines espèces ou variétés de surmonter cette difficulté. Une première stratégie consiste à stimuler la production d’acides organiques pour rétablir l’acidité des cellules, excréter des protons dans la rhizosphère et ainsi solubiliser le fer. Une seconde stratégie</w:t>
      </w:r>
      <w:r w:rsidR="00976DDC">
        <w:rPr>
          <w:rFonts w:asciiTheme="majorBidi" w:hAnsiTheme="majorBidi" w:cstheme="majorBidi"/>
          <w:sz w:val="24"/>
          <w:szCs w:val="24"/>
        </w:rPr>
        <w:t xml:space="preserve"> fait intervenir l’excrétion de chélates qui permettent la récupération du fer dans les zones de pH alcalins (</w:t>
      </w:r>
      <w:proofErr w:type="spellStart"/>
      <w:r w:rsidR="00976DDC">
        <w:rPr>
          <w:rFonts w:asciiTheme="majorBidi" w:hAnsiTheme="majorBidi" w:cstheme="majorBidi"/>
          <w:sz w:val="24"/>
          <w:szCs w:val="24"/>
        </w:rPr>
        <w:t>Ferdenegg</w:t>
      </w:r>
      <w:proofErr w:type="spellEnd"/>
      <w:r w:rsidR="00976DDC">
        <w:rPr>
          <w:rFonts w:asciiTheme="majorBidi" w:hAnsiTheme="majorBidi" w:cstheme="majorBidi"/>
          <w:sz w:val="24"/>
          <w:szCs w:val="24"/>
        </w:rPr>
        <w:t xml:space="preserve"> et al., 1986).</w:t>
      </w:r>
    </w:p>
    <w:p w:rsidR="001834FD" w:rsidRDefault="00CE7815" w:rsidP="00976DDC">
      <w:pPr>
        <w:jc w:val="both"/>
        <w:rPr>
          <w:rFonts w:asciiTheme="majorBidi" w:hAnsiTheme="majorBidi" w:cstheme="majorBidi"/>
          <w:b/>
          <w:bCs/>
          <w:sz w:val="24"/>
          <w:szCs w:val="24"/>
        </w:rPr>
      </w:pPr>
      <w:r w:rsidRPr="00CE7815">
        <w:rPr>
          <w:rFonts w:asciiTheme="majorBidi" w:hAnsiTheme="majorBidi" w:cstheme="majorBidi"/>
          <w:b/>
          <w:bCs/>
          <w:sz w:val="24"/>
          <w:szCs w:val="24"/>
        </w:rPr>
        <w:t xml:space="preserve">IV.2. Besoins qualitatifs </w:t>
      </w:r>
      <w:r w:rsidR="00976DDC" w:rsidRPr="00CE7815">
        <w:rPr>
          <w:rFonts w:asciiTheme="majorBidi" w:hAnsiTheme="majorBidi" w:cstheme="majorBidi"/>
          <w:b/>
          <w:bCs/>
          <w:sz w:val="24"/>
          <w:szCs w:val="24"/>
        </w:rPr>
        <w:t xml:space="preserve">  </w:t>
      </w:r>
    </w:p>
    <w:p w:rsidR="00926A16" w:rsidRDefault="001834FD" w:rsidP="001834FD">
      <w:pPr>
        <w:jc w:val="both"/>
        <w:rPr>
          <w:rFonts w:asciiTheme="majorBidi" w:hAnsiTheme="majorBidi" w:cstheme="majorBidi"/>
          <w:sz w:val="24"/>
          <w:szCs w:val="24"/>
        </w:rPr>
      </w:pPr>
      <w:r w:rsidRPr="001834FD">
        <w:rPr>
          <w:rFonts w:asciiTheme="majorBidi" w:hAnsiTheme="majorBidi" w:cstheme="majorBidi"/>
          <w:sz w:val="24"/>
          <w:szCs w:val="24"/>
        </w:rPr>
        <w:t>La plupart des problè</w:t>
      </w:r>
      <w:r>
        <w:rPr>
          <w:rFonts w:asciiTheme="majorBidi" w:hAnsiTheme="majorBidi" w:cstheme="majorBidi"/>
          <w:sz w:val="24"/>
          <w:szCs w:val="24"/>
        </w:rPr>
        <w:t>mes reliés à la nutrition des cultures peuvent être associés aux situations</w:t>
      </w:r>
      <w:r w:rsidR="006E2A4C">
        <w:rPr>
          <w:rFonts w:asciiTheme="majorBidi" w:hAnsiTheme="majorBidi" w:cstheme="majorBidi"/>
          <w:sz w:val="24"/>
          <w:szCs w:val="24"/>
        </w:rPr>
        <w:t xml:space="preserve"> suivantes : sols sableux (sujet au lessivage), sols organiques (</w:t>
      </w:r>
      <w:proofErr w:type="spellStart"/>
      <w:r w:rsidR="006E2A4C">
        <w:rPr>
          <w:rFonts w:asciiTheme="majorBidi" w:hAnsiTheme="majorBidi" w:cstheme="majorBidi"/>
          <w:sz w:val="24"/>
          <w:szCs w:val="24"/>
        </w:rPr>
        <w:t>histosols</w:t>
      </w:r>
      <w:proofErr w:type="spellEnd"/>
      <w:r w:rsidR="006E2A4C">
        <w:rPr>
          <w:rFonts w:asciiTheme="majorBidi" w:hAnsiTheme="majorBidi" w:cstheme="majorBidi"/>
          <w:sz w:val="24"/>
          <w:szCs w:val="24"/>
        </w:rPr>
        <w:t xml:space="preserve">), sols acides, sols alcalins, erreurs humaines ou mécaniques (Maynard, 1979). Egalement, certaines conditions doivent être réunies avant que la culture puisse satisfaire </w:t>
      </w:r>
      <w:r w:rsidR="00926A16">
        <w:rPr>
          <w:rFonts w:asciiTheme="majorBidi" w:hAnsiTheme="majorBidi" w:cstheme="majorBidi"/>
          <w:sz w:val="24"/>
          <w:szCs w:val="24"/>
        </w:rPr>
        <w:t>ses besoins en éléments nutritifs.</w:t>
      </w:r>
    </w:p>
    <w:p w:rsidR="004C7755" w:rsidRDefault="00926A16" w:rsidP="004C7755">
      <w:pPr>
        <w:jc w:val="both"/>
        <w:rPr>
          <w:rFonts w:asciiTheme="majorBidi" w:hAnsiTheme="majorBidi" w:cstheme="majorBidi"/>
          <w:sz w:val="24"/>
          <w:szCs w:val="24"/>
        </w:rPr>
      </w:pPr>
      <w:r w:rsidRPr="00926A16">
        <w:rPr>
          <w:rFonts w:asciiTheme="majorBidi" w:hAnsiTheme="majorBidi" w:cstheme="majorBidi"/>
          <w:b/>
          <w:bCs/>
          <w:sz w:val="24"/>
          <w:szCs w:val="24"/>
        </w:rPr>
        <w:t>. La température.</w:t>
      </w:r>
      <w:r w:rsidR="006E2A4C" w:rsidRPr="00926A16">
        <w:rPr>
          <w:rFonts w:asciiTheme="majorBidi" w:hAnsiTheme="majorBidi" w:cstheme="majorBidi"/>
          <w:b/>
          <w:bCs/>
          <w:sz w:val="24"/>
          <w:szCs w:val="24"/>
        </w:rPr>
        <w:t xml:space="preserve"> </w:t>
      </w:r>
      <w:r>
        <w:rPr>
          <w:rFonts w:asciiTheme="majorBidi" w:hAnsiTheme="majorBidi" w:cstheme="majorBidi"/>
          <w:sz w:val="24"/>
          <w:szCs w:val="24"/>
        </w:rPr>
        <w:t xml:space="preserve">L’effet de la température sur la capacité d’absorption de la plante peut être masquée par son influence indirecte sur la disponibilité des ions dans le sol (Barrow, 1992). Selon </w:t>
      </w:r>
      <w:r w:rsidR="00D814FD">
        <w:rPr>
          <w:rFonts w:asciiTheme="majorBidi" w:hAnsiTheme="majorBidi" w:cstheme="majorBidi"/>
          <w:sz w:val="24"/>
          <w:szCs w:val="24"/>
        </w:rPr>
        <w:t>Cornillon (1977), l’absorption du phosphore est gênée par les températures froides</w:t>
      </w:r>
      <w:r>
        <w:rPr>
          <w:rFonts w:asciiTheme="majorBidi" w:hAnsiTheme="majorBidi" w:cstheme="majorBidi"/>
          <w:sz w:val="24"/>
          <w:szCs w:val="24"/>
        </w:rPr>
        <w:t xml:space="preserve"> </w:t>
      </w:r>
      <w:r w:rsidR="00D814FD">
        <w:rPr>
          <w:rFonts w:asciiTheme="majorBidi" w:hAnsiTheme="majorBidi" w:cstheme="majorBidi"/>
          <w:sz w:val="24"/>
          <w:szCs w:val="24"/>
        </w:rPr>
        <w:t xml:space="preserve">alors que l’inverse se produit pour l’ammonium </w:t>
      </w:r>
      <w:r w:rsidR="004C7755">
        <w:rPr>
          <w:rFonts w:asciiTheme="majorBidi" w:hAnsiTheme="majorBidi" w:cstheme="majorBidi"/>
          <w:sz w:val="24"/>
          <w:szCs w:val="24"/>
        </w:rPr>
        <w:t>(NH</w:t>
      </w:r>
      <w:r w:rsidR="004C7755">
        <w:rPr>
          <w:rFonts w:asciiTheme="majorBidi" w:hAnsiTheme="majorBidi" w:cstheme="majorBidi"/>
          <w:sz w:val="24"/>
          <w:szCs w:val="24"/>
          <w:vertAlign w:val="subscript"/>
        </w:rPr>
        <w:t>4</w:t>
      </w:r>
      <w:r w:rsidR="004C7755">
        <w:rPr>
          <w:rFonts w:asciiTheme="majorBidi" w:hAnsiTheme="majorBidi" w:cstheme="majorBidi"/>
          <w:sz w:val="24"/>
          <w:szCs w:val="24"/>
          <w:vertAlign w:val="superscript"/>
        </w:rPr>
        <w:t>+</w:t>
      </w:r>
      <w:r w:rsidR="004C7755">
        <w:rPr>
          <w:rFonts w:asciiTheme="majorBidi" w:hAnsiTheme="majorBidi" w:cstheme="majorBidi"/>
          <w:sz w:val="24"/>
          <w:szCs w:val="24"/>
        </w:rPr>
        <w:t>). En période froide, des carences en phosphore sont fréquemment constatées sur les graminées.</w:t>
      </w:r>
    </w:p>
    <w:p w:rsidR="000027D6" w:rsidRDefault="004C7755" w:rsidP="004C7755">
      <w:pPr>
        <w:jc w:val="both"/>
        <w:rPr>
          <w:rFonts w:asciiTheme="majorBidi" w:hAnsiTheme="majorBidi" w:cstheme="majorBidi"/>
          <w:sz w:val="24"/>
          <w:szCs w:val="24"/>
        </w:rPr>
      </w:pPr>
      <w:r>
        <w:rPr>
          <w:rFonts w:asciiTheme="majorBidi" w:hAnsiTheme="majorBidi" w:cstheme="majorBidi"/>
          <w:b/>
          <w:bCs/>
          <w:sz w:val="24"/>
          <w:szCs w:val="24"/>
        </w:rPr>
        <w:t xml:space="preserve">. Le pH. </w:t>
      </w:r>
      <w:r>
        <w:rPr>
          <w:rFonts w:asciiTheme="majorBidi" w:hAnsiTheme="majorBidi" w:cstheme="majorBidi"/>
          <w:sz w:val="24"/>
          <w:szCs w:val="24"/>
        </w:rPr>
        <w:t xml:space="preserve">Fréquemment, le retour à un </w:t>
      </w:r>
      <w:r w:rsidR="00AA242B">
        <w:rPr>
          <w:rFonts w:asciiTheme="majorBidi" w:hAnsiTheme="majorBidi" w:cstheme="majorBidi"/>
          <w:sz w:val="24"/>
          <w:szCs w:val="24"/>
        </w:rPr>
        <w:t xml:space="preserve">pH </w:t>
      </w:r>
      <w:r>
        <w:rPr>
          <w:rFonts w:asciiTheme="majorBidi" w:hAnsiTheme="majorBidi" w:cstheme="majorBidi"/>
          <w:sz w:val="24"/>
          <w:szCs w:val="24"/>
        </w:rPr>
        <w:t>optimal est de nature à solutionner un pr</w:t>
      </w:r>
      <w:r w:rsidR="00AA242B">
        <w:rPr>
          <w:rFonts w:asciiTheme="majorBidi" w:hAnsiTheme="majorBidi" w:cstheme="majorBidi"/>
          <w:sz w:val="24"/>
          <w:szCs w:val="24"/>
        </w:rPr>
        <w:t>oblème</w:t>
      </w:r>
      <w:r>
        <w:rPr>
          <w:rFonts w:asciiTheme="majorBidi" w:hAnsiTheme="majorBidi" w:cstheme="majorBidi"/>
          <w:sz w:val="24"/>
          <w:szCs w:val="24"/>
        </w:rPr>
        <w:t xml:space="preserve"> </w:t>
      </w:r>
      <w:r w:rsidR="00AA242B">
        <w:rPr>
          <w:rFonts w:asciiTheme="majorBidi" w:hAnsiTheme="majorBidi" w:cstheme="majorBidi"/>
          <w:sz w:val="24"/>
          <w:szCs w:val="24"/>
        </w:rPr>
        <w:t>de déséquilibre nutritionnel (</w:t>
      </w:r>
      <w:proofErr w:type="spellStart"/>
      <w:r w:rsidR="00AA242B">
        <w:rPr>
          <w:rFonts w:asciiTheme="majorBidi" w:hAnsiTheme="majorBidi" w:cstheme="majorBidi"/>
          <w:sz w:val="24"/>
          <w:szCs w:val="24"/>
        </w:rPr>
        <w:t>Mayard</w:t>
      </w:r>
      <w:proofErr w:type="spellEnd"/>
      <w:r w:rsidR="00AA242B">
        <w:rPr>
          <w:rFonts w:asciiTheme="majorBidi" w:hAnsiTheme="majorBidi" w:cstheme="majorBidi"/>
          <w:sz w:val="24"/>
          <w:szCs w:val="24"/>
        </w:rPr>
        <w:t>, 1979). Dans ce cas, c’est son influence sur la di</w:t>
      </w:r>
      <w:r w:rsidR="000027D6">
        <w:rPr>
          <w:rFonts w:asciiTheme="majorBidi" w:hAnsiTheme="majorBidi" w:cstheme="majorBidi"/>
          <w:sz w:val="24"/>
          <w:szCs w:val="24"/>
        </w:rPr>
        <w:t>sponi</w:t>
      </w:r>
      <w:r w:rsidR="00AA242B">
        <w:rPr>
          <w:rFonts w:asciiTheme="majorBidi" w:hAnsiTheme="majorBidi" w:cstheme="majorBidi"/>
          <w:sz w:val="24"/>
          <w:szCs w:val="24"/>
        </w:rPr>
        <w:t>bilité des éléments qui favorise la nutrition.</w:t>
      </w:r>
      <w:r>
        <w:rPr>
          <w:rFonts w:asciiTheme="majorBidi" w:hAnsiTheme="majorBidi" w:cstheme="majorBidi"/>
          <w:sz w:val="24"/>
          <w:szCs w:val="24"/>
        </w:rPr>
        <w:t xml:space="preserve">  </w:t>
      </w:r>
      <w:r>
        <w:rPr>
          <w:rFonts w:asciiTheme="majorBidi" w:hAnsiTheme="majorBidi" w:cstheme="majorBidi"/>
          <w:b/>
          <w:bCs/>
          <w:sz w:val="24"/>
          <w:szCs w:val="24"/>
        </w:rPr>
        <w:t xml:space="preserve"> </w:t>
      </w:r>
      <w:r>
        <w:rPr>
          <w:rFonts w:asciiTheme="majorBidi" w:hAnsiTheme="majorBidi" w:cstheme="majorBidi"/>
          <w:sz w:val="24"/>
          <w:szCs w:val="24"/>
        </w:rPr>
        <w:t xml:space="preserve"> </w:t>
      </w:r>
    </w:p>
    <w:p w:rsidR="003108DA" w:rsidRDefault="000027D6" w:rsidP="003108DA">
      <w:pPr>
        <w:jc w:val="both"/>
        <w:rPr>
          <w:rFonts w:asciiTheme="majorBidi" w:hAnsiTheme="majorBidi" w:cstheme="majorBidi"/>
          <w:sz w:val="24"/>
          <w:szCs w:val="24"/>
        </w:rPr>
      </w:pPr>
      <w:r>
        <w:rPr>
          <w:rFonts w:asciiTheme="majorBidi" w:hAnsiTheme="majorBidi" w:cstheme="majorBidi"/>
          <w:b/>
          <w:bCs/>
          <w:sz w:val="24"/>
          <w:szCs w:val="24"/>
        </w:rPr>
        <w:t xml:space="preserve">. La salinité. </w:t>
      </w:r>
      <w:r w:rsidRPr="000027D6">
        <w:rPr>
          <w:rFonts w:asciiTheme="majorBidi" w:hAnsiTheme="majorBidi" w:cstheme="majorBidi"/>
          <w:sz w:val="24"/>
          <w:szCs w:val="24"/>
        </w:rPr>
        <w:t>Pour réaliser</w:t>
      </w:r>
      <w:r>
        <w:rPr>
          <w:rFonts w:asciiTheme="majorBidi" w:hAnsiTheme="majorBidi" w:cstheme="majorBidi"/>
          <w:b/>
          <w:bCs/>
          <w:sz w:val="24"/>
          <w:szCs w:val="24"/>
        </w:rPr>
        <w:t xml:space="preserve"> </w:t>
      </w:r>
      <w:r w:rsidRPr="000027D6">
        <w:rPr>
          <w:rFonts w:asciiTheme="majorBidi" w:hAnsiTheme="majorBidi" w:cstheme="majorBidi"/>
          <w:sz w:val="24"/>
          <w:szCs w:val="24"/>
        </w:rPr>
        <w:t>l’absorption</w:t>
      </w:r>
      <w:r>
        <w:rPr>
          <w:rFonts w:asciiTheme="majorBidi" w:hAnsiTheme="majorBidi" w:cstheme="majorBidi"/>
          <w:sz w:val="24"/>
          <w:szCs w:val="24"/>
        </w:rPr>
        <w:t xml:space="preserve"> des éléments nutritifs dont elle a besoin, la plante n</w:t>
      </w:r>
      <w:r w:rsidR="003108DA">
        <w:rPr>
          <w:rFonts w:asciiTheme="majorBidi" w:hAnsiTheme="majorBidi" w:cstheme="majorBidi"/>
          <w:sz w:val="24"/>
          <w:szCs w:val="24"/>
        </w:rPr>
        <w:t>e</w:t>
      </w:r>
      <w:r>
        <w:rPr>
          <w:rFonts w:asciiTheme="majorBidi" w:hAnsiTheme="majorBidi" w:cstheme="majorBidi"/>
          <w:sz w:val="24"/>
          <w:szCs w:val="24"/>
        </w:rPr>
        <w:t xml:space="preserve"> doit pas être soumise à un stress hydrique induit par la salinité du sol. </w:t>
      </w:r>
    </w:p>
    <w:p w:rsidR="00361124" w:rsidRDefault="003108DA" w:rsidP="003108DA">
      <w:pPr>
        <w:jc w:val="both"/>
        <w:rPr>
          <w:rFonts w:asciiTheme="majorBidi" w:hAnsiTheme="majorBidi" w:cstheme="majorBidi"/>
          <w:sz w:val="24"/>
          <w:szCs w:val="24"/>
        </w:rPr>
      </w:pPr>
      <w:r w:rsidRPr="003108DA">
        <w:rPr>
          <w:rFonts w:asciiTheme="majorBidi" w:hAnsiTheme="majorBidi" w:cstheme="majorBidi"/>
          <w:b/>
          <w:bCs/>
          <w:sz w:val="24"/>
          <w:szCs w:val="24"/>
        </w:rPr>
        <w:t>. L’aération.</w:t>
      </w:r>
      <w:r w:rsidR="000027D6" w:rsidRPr="003108DA">
        <w:rPr>
          <w:rFonts w:asciiTheme="majorBidi" w:hAnsiTheme="majorBidi" w:cstheme="majorBidi"/>
          <w:b/>
          <w:bCs/>
          <w:sz w:val="24"/>
          <w:szCs w:val="24"/>
        </w:rPr>
        <w:t xml:space="preserve"> </w:t>
      </w:r>
      <w:r>
        <w:rPr>
          <w:rFonts w:asciiTheme="majorBidi" w:hAnsiTheme="majorBidi" w:cstheme="majorBidi"/>
          <w:sz w:val="24"/>
          <w:szCs w:val="24"/>
        </w:rPr>
        <w:t>L’aération du sol devient insuffisante lorsque l’importance des pores est limitée par le compactage ou une saturation en eau. Dans un cas comme dans l’autre, l’azote est dénitrifié et soustrait à l’absorption par les racines. Dans un sol compact, les racines croissent avec</w:t>
      </w:r>
      <w:r w:rsidR="0073144B">
        <w:rPr>
          <w:rFonts w:asciiTheme="majorBidi" w:hAnsiTheme="majorBidi" w:cstheme="majorBidi"/>
          <w:sz w:val="24"/>
          <w:szCs w:val="24"/>
        </w:rPr>
        <w:t xml:space="preserve"> difficulté et l’absorption de l’ensemble des éléments s’</w:t>
      </w:r>
      <w:r w:rsidR="00566574">
        <w:rPr>
          <w:rFonts w:asciiTheme="majorBidi" w:hAnsiTheme="majorBidi" w:cstheme="majorBidi"/>
          <w:sz w:val="24"/>
          <w:szCs w:val="24"/>
        </w:rPr>
        <w:t>en trouve gênées (</w:t>
      </w:r>
      <w:proofErr w:type="spellStart"/>
      <w:r w:rsidR="0073144B">
        <w:rPr>
          <w:rFonts w:asciiTheme="majorBidi" w:hAnsiTheme="majorBidi" w:cstheme="majorBidi"/>
          <w:sz w:val="24"/>
          <w:szCs w:val="24"/>
        </w:rPr>
        <w:t>Wolkowski</w:t>
      </w:r>
      <w:proofErr w:type="spellEnd"/>
      <w:r w:rsidR="0073144B">
        <w:rPr>
          <w:rFonts w:asciiTheme="majorBidi" w:hAnsiTheme="majorBidi" w:cstheme="majorBidi"/>
          <w:sz w:val="24"/>
          <w:szCs w:val="24"/>
        </w:rPr>
        <w:t>, 1990</w:t>
      </w:r>
      <w:r w:rsidR="00566574">
        <w:rPr>
          <w:rFonts w:asciiTheme="majorBidi" w:hAnsiTheme="majorBidi" w:cstheme="majorBidi"/>
          <w:sz w:val="24"/>
          <w:szCs w:val="24"/>
        </w:rPr>
        <w:t>)</w:t>
      </w:r>
      <w:r w:rsidR="0073144B">
        <w:rPr>
          <w:rFonts w:asciiTheme="majorBidi" w:hAnsiTheme="majorBidi" w:cstheme="majorBidi"/>
          <w:sz w:val="24"/>
          <w:szCs w:val="24"/>
        </w:rPr>
        <w:t>.</w:t>
      </w:r>
    </w:p>
    <w:p w:rsidR="00566574" w:rsidRDefault="00566574" w:rsidP="003108DA">
      <w:pPr>
        <w:jc w:val="both"/>
        <w:rPr>
          <w:rFonts w:asciiTheme="majorBidi" w:hAnsiTheme="majorBidi" w:cstheme="majorBidi"/>
          <w:sz w:val="24"/>
          <w:szCs w:val="24"/>
        </w:rPr>
      </w:pPr>
      <w:r>
        <w:rPr>
          <w:rFonts w:asciiTheme="majorBidi" w:hAnsiTheme="majorBidi" w:cstheme="majorBidi"/>
          <w:b/>
          <w:bCs/>
          <w:sz w:val="24"/>
          <w:szCs w:val="24"/>
        </w:rPr>
        <w:t xml:space="preserve">. La forme chimique. </w:t>
      </w:r>
      <w:r>
        <w:rPr>
          <w:rFonts w:asciiTheme="majorBidi" w:hAnsiTheme="majorBidi" w:cstheme="majorBidi"/>
          <w:sz w:val="24"/>
          <w:szCs w:val="24"/>
        </w:rPr>
        <w:t>Il est essentiel que l’absorption d’ions de la solution du sol s’effectue de façon à préserver au sein de la plante un certain équilibre des charges électriques positives et négatives (</w:t>
      </w:r>
      <w:proofErr w:type="spellStart"/>
      <w:r>
        <w:rPr>
          <w:rFonts w:asciiTheme="majorBidi" w:hAnsiTheme="majorBidi" w:cstheme="majorBidi"/>
          <w:sz w:val="24"/>
          <w:szCs w:val="24"/>
        </w:rPr>
        <w:t>Findenegg</w:t>
      </w:r>
      <w:proofErr w:type="spellEnd"/>
      <w:r>
        <w:rPr>
          <w:rFonts w:asciiTheme="majorBidi" w:hAnsiTheme="majorBidi" w:cstheme="majorBidi"/>
          <w:sz w:val="24"/>
          <w:szCs w:val="24"/>
        </w:rPr>
        <w:t>, 1987). L’azote, qui a la particularité d’être absorbé sous forme anionique en quantité importante</w:t>
      </w:r>
      <w:r w:rsidR="002124B8">
        <w:rPr>
          <w:rFonts w:asciiTheme="majorBidi" w:hAnsiTheme="majorBidi" w:cstheme="majorBidi"/>
          <w:sz w:val="24"/>
          <w:szCs w:val="24"/>
        </w:rPr>
        <w:t xml:space="preserve"> est le principal agent en cette matière. Lorsqu’il est absorbé sous forme nitrate (NO</w:t>
      </w:r>
      <w:r w:rsidR="002124B8">
        <w:rPr>
          <w:rFonts w:asciiTheme="majorBidi" w:hAnsiTheme="majorBidi" w:cstheme="majorBidi"/>
          <w:sz w:val="24"/>
          <w:szCs w:val="24"/>
          <w:vertAlign w:val="subscript"/>
        </w:rPr>
        <w:t>3</w:t>
      </w:r>
      <w:r w:rsidR="002124B8">
        <w:rPr>
          <w:rFonts w:asciiTheme="majorBidi" w:hAnsiTheme="majorBidi" w:cstheme="majorBidi"/>
          <w:sz w:val="24"/>
          <w:szCs w:val="24"/>
          <w:vertAlign w:val="superscript"/>
        </w:rPr>
        <w:t>-</w:t>
      </w:r>
      <w:r w:rsidR="002124B8">
        <w:rPr>
          <w:rFonts w:asciiTheme="majorBidi" w:hAnsiTheme="majorBidi" w:cstheme="majorBidi"/>
          <w:sz w:val="24"/>
          <w:szCs w:val="24"/>
        </w:rPr>
        <w:t xml:space="preserve">), le résultat est l’alcalinisation de la rhizosphère. </w:t>
      </w:r>
    </w:p>
    <w:p w:rsidR="00F367A8" w:rsidRDefault="00F367A8" w:rsidP="000B542C">
      <w:pPr>
        <w:jc w:val="both"/>
        <w:rPr>
          <w:rFonts w:asciiTheme="majorBidi" w:hAnsiTheme="majorBidi" w:cstheme="majorBidi"/>
          <w:sz w:val="24"/>
          <w:szCs w:val="24"/>
        </w:rPr>
      </w:pPr>
      <w:r>
        <w:rPr>
          <w:rFonts w:asciiTheme="majorBidi" w:hAnsiTheme="majorBidi" w:cstheme="majorBidi"/>
          <w:sz w:val="24"/>
          <w:szCs w:val="24"/>
        </w:rPr>
        <w:t>Inversement, l’absorption d’ammonium (NH</w:t>
      </w:r>
      <w:r>
        <w:rPr>
          <w:rFonts w:asciiTheme="majorBidi" w:hAnsiTheme="majorBidi" w:cstheme="majorBidi"/>
          <w:sz w:val="24"/>
          <w:szCs w:val="24"/>
          <w:vertAlign w:val="subscript"/>
        </w:rPr>
        <w:t>4</w:t>
      </w:r>
      <w:r>
        <w:rPr>
          <w:rFonts w:asciiTheme="majorBidi" w:hAnsiTheme="majorBidi" w:cstheme="majorBidi"/>
          <w:sz w:val="24"/>
          <w:szCs w:val="24"/>
          <w:vertAlign w:val="superscript"/>
        </w:rPr>
        <w:t>+</w:t>
      </w:r>
      <w:r>
        <w:rPr>
          <w:rFonts w:asciiTheme="majorBidi" w:hAnsiTheme="majorBidi" w:cstheme="majorBidi"/>
          <w:sz w:val="24"/>
          <w:szCs w:val="24"/>
        </w:rPr>
        <w:t>) mène à l’acidification de la rhizosphère (</w:t>
      </w:r>
      <w:proofErr w:type="spellStart"/>
      <w:r>
        <w:rPr>
          <w:rFonts w:asciiTheme="majorBidi" w:hAnsiTheme="majorBidi" w:cstheme="majorBidi"/>
          <w:sz w:val="24"/>
          <w:szCs w:val="24"/>
        </w:rPr>
        <w:t>Marschner</w:t>
      </w:r>
      <w:proofErr w:type="spellEnd"/>
      <w:r>
        <w:rPr>
          <w:rFonts w:asciiTheme="majorBidi" w:hAnsiTheme="majorBidi" w:cstheme="majorBidi"/>
          <w:sz w:val="24"/>
          <w:szCs w:val="24"/>
        </w:rPr>
        <w:t xml:space="preserve"> et al., 1986 ; </w:t>
      </w:r>
      <w:proofErr w:type="spellStart"/>
      <w:r>
        <w:rPr>
          <w:rFonts w:asciiTheme="majorBidi" w:hAnsiTheme="majorBidi" w:cstheme="majorBidi"/>
          <w:sz w:val="24"/>
          <w:szCs w:val="24"/>
        </w:rPr>
        <w:t>Römheld</w:t>
      </w:r>
      <w:proofErr w:type="spellEnd"/>
      <w:r>
        <w:rPr>
          <w:rFonts w:asciiTheme="majorBidi" w:hAnsiTheme="majorBidi" w:cstheme="majorBidi"/>
          <w:sz w:val="24"/>
          <w:szCs w:val="24"/>
        </w:rPr>
        <w:t>, 1986). S</w:t>
      </w:r>
      <w:r w:rsidR="00AC401C">
        <w:rPr>
          <w:rFonts w:asciiTheme="majorBidi" w:hAnsiTheme="majorBidi" w:cstheme="majorBidi"/>
          <w:sz w:val="24"/>
          <w:szCs w:val="24"/>
        </w:rPr>
        <w:t>elon la capacité du sol à r</w:t>
      </w:r>
      <w:r>
        <w:rPr>
          <w:rFonts w:asciiTheme="majorBidi" w:hAnsiTheme="majorBidi" w:cstheme="majorBidi"/>
          <w:sz w:val="24"/>
          <w:szCs w:val="24"/>
        </w:rPr>
        <w:t>éagir aux pressions exercées par la plante sur son pH, la zone d’influence de la rhizosphère</w:t>
      </w:r>
      <w:r w:rsidR="00AC401C">
        <w:rPr>
          <w:rFonts w:asciiTheme="majorBidi" w:hAnsiTheme="majorBidi" w:cstheme="majorBidi"/>
          <w:sz w:val="24"/>
          <w:szCs w:val="24"/>
        </w:rPr>
        <w:t xml:space="preserve"> peut être plus ou moins </w:t>
      </w:r>
      <w:r w:rsidR="00AC401C">
        <w:rPr>
          <w:rFonts w:asciiTheme="majorBidi" w:hAnsiTheme="majorBidi" w:cstheme="majorBidi"/>
          <w:sz w:val="24"/>
          <w:szCs w:val="24"/>
        </w:rPr>
        <w:lastRenderedPageBreak/>
        <w:t>grande (</w:t>
      </w:r>
      <w:proofErr w:type="spellStart"/>
      <w:r w:rsidR="00AC401C">
        <w:rPr>
          <w:rFonts w:asciiTheme="majorBidi" w:hAnsiTheme="majorBidi" w:cstheme="majorBidi"/>
          <w:sz w:val="24"/>
          <w:szCs w:val="24"/>
        </w:rPr>
        <w:t>Schaller</w:t>
      </w:r>
      <w:proofErr w:type="spellEnd"/>
      <w:r w:rsidR="00AC401C">
        <w:rPr>
          <w:rFonts w:asciiTheme="majorBidi" w:hAnsiTheme="majorBidi" w:cstheme="majorBidi"/>
          <w:sz w:val="24"/>
          <w:szCs w:val="24"/>
        </w:rPr>
        <w:t xml:space="preserve">, 1987). L’absorption dans la racine de cations accompagnateurs coïncide généralement avec celle du nitrate. Les plantes alimentées en nitrate contiennent </w:t>
      </w:r>
      <w:r w:rsidR="000B542C">
        <w:rPr>
          <w:rFonts w:asciiTheme="majorBidi" w:hAnsiTheme="majorBidi" w:cstheme="majorBidi"/>
          <w:sz w:val="24"/>
          <w:szCs w:val="24"/>
        </w:rPr>
        <w:t xml:space="preserve">ainsi davantage de cations dans leurs parties foliaires que celles qui absorbent plutôt de l’ammonium.  </w:t>
      </w:r>
    </w:p>
    <w:p w:rsidR="00AC401C" w:rsidRDefault="00AC401C" w:rsidP="00AC401C">
      <w:pPr>
        <w:jc w:val="both"/>
        <w:rPr>
          <w:rFonts w:asciiTheme="majorBidi" w:hAnsiTheme="majorBidi" w:cstheme="majorBidi"/>
          <w:b/>
          <w:bCs/>
          <w:sz w:val="24"/>
          <w:szCs w:val="24"/>
        </w:rPr>
      </w:pPr>
      <w:r w:rsidRPr="00AC401C">
        <w:rPr>
          <w:rFonts w:asciiTheme="majorBidi" w:hAnsiTheme="majorBidi" w:cstheme="majorBidi"/>
          <w:b/>
          <w:bCs/>
          <w:sz w:val="24"/>
          <w:szCs w:val="24"/>
        </w:rPr>
        <w:t>IV.3. Synchronisme</w:t>
      </w:r>
    </w:p>
    <w:p w:rsidR="00051115" w:rsidRDefault="00AC401C" w:rsidP="00AC401C">
      <w:pPr>
        <w:jc w:val="both"/>
        <w:rPr>
          <w:rFonts w:asciiTheme="majorBidi" w:hAnsiTheme="majorBidi" w:cstheme="majorBidi"/>
          <w:sz w:val="24"/>
          <w:szCs w:val="24"/>
          <w:vertAlign w:val="subscript"/>
        </w:rPr>
      </w:pPr>
      <w:r>
        <w:rPr>
          <w:rFonts w:asciiTheme="majorBidi" w:hAnsiTheme="majorBidi" w:cstheme="majorBidi"/>
          <w:sz w:val="24"/>
          <w:szCs w:val="24"/>
        </w:rPr>
        <w:t xml:space="preserve">Le rythme d’absorption </w:t>
      </w:r>
      <w:r w:rsidR="00824FAF">
        <w:rPr>
          <w:rFonts w:asciiTheme="majorBidi" w:hAnsiTheme="majorBidi" w:cstheme="majorBidi"/>
          <w:sz w:val="24"/>
          <w:szCs w:val="24"/>
        </w:rPr>
        <w:t xml:space="preserve">d’un élément nutritif donné n’est pas constant au cours de la saison. A titre d’exemple, il est rapporté par </w:t>
      </w:r>
      <w:proofErr w:type="spellStart"/>
      <w:r w:rsidR="00824FAF">
        <w:rPr>
          <w:rFonts w:asciiTheme="majorBidi" w:hAnsiTheme="majorBidi" w:cstheme="majorBidi"/>
          <w:sz w:val="24"/>
          <w:szCs w:val="24"/>
        </w:rPr>
        <w:t>Beringer</w:t>
      </w:r>
      <w:proofErr w:type="spellEnd"/>
      <w:r w:rsidR="00824FAF">
        <w:rPr>
          <w:rFonts w:asciiTheme="majorBidi" w:hAnsiTheme="majorBidi" w:cstheme="majorBidi"/>
          <w:sz w:val="24"/>
          <w:szCs w:val="24"/>
        </w:rPr>
        <w:t xml:space="preserve"> (1985) que, à l’hectare, l’absorption de P</w:t>
      </w:r>
      <w:r w:rsidR="00824FAF">
        <w:rPr>
          <w:rFonts w:asciiTheme="majorBidi" w:hAnsiTheme="majorBidi" w:cstheme="majorBidi"/>
          <w:sz w:val="24"/>
          <w:szCs w:val="24"/>
          <w:vertAlign w:val="subscript"/>
        </w:rPr>
        <w:t>2</w:t>
      </w:r>
      <w:r w:rsidR="00824FAF">
        <w:rPr>
          <w:rFonts w:asciiTheme="majorBidi" w:hAnsiTheme="majorBidi" w:cstheme="majorBidi"/>
          <w:sz w:val="24"/>
          <w:szCs w:val="24"/>
        </w:rPr>
        <w:t>O</w:t>
      </w:r>
      <w:r w:rsidR="00824FAF">
        <w:rPr>
          <w:rFonts w:asciiTheme="majorBidi" w:hAnsiTheme="majorBidi" w:cstheme="majorBidi"/>
          <w:sz w:val="24"/>
          <w:szCs w:val="24"/>
          <w:vertAlign w:val="subscript"/>
        </w:rPr>
        <w:t>5</w:t>
      </w:r>
      <w:r w:rsidR="00824FAF">
        <w:rPr>
          <w:rFonts w:asciiTheme="majorBidi" w:hAnsiTheme="majorBidi" w:cstheme="majorBidi"/>
          <w:sz w:val="24"/>
          <w:szCs w:val="24"/>
        </w:rPr>
        <w:t xml:space="preserve"> par le maïs atteint un maximum environ 60 jours après le semi. Selon </w:t>
      </w:r>
      <w:proofErr w:type="spellStart"/>
      <w:r w:rsidR="00824FAF">
        <w:rPr>
          <w:rFonts w:asciiTheme="majorBidi" w:hAnsiTheme="majorBidi" w:cstheme="majorBidi"/>
          <w:sz w:val="24"/>
          <w:szCs w:val="24"/>
        </w:rPr>
        <w:t>Tinker</w:t>
      </w:r>
      <w:proofErr w:type="spellEnd"/>
      <w:r w:rsidR="00824FAF">
        <w:rPr>
          <w:rFonts w:asciiTheme="majorBidi" w:hAnsiTheme="majorBidi" w:cstheme="majorBidi"/>
          <w:sz w:val="24"/>
          <w:szCs w:val="24"/>
        </w:rPr>
        <w:t xml:space="preserve"> (1985), les percées majeures qu’il faut attendre dans le domaine de la nutrition minérale seront associées à un meilleur synchronisme dans l’espace et dans le temps entre l’apport de ferti</w:t>
      </w:r>
      <w:r w:rsidR="00114141">
        <w:rPr>
          <w:rFonts w:asciiTheme="majorBidi" w:hAnsiTheme="majorBidi" w:cstheme="majorBidi"/>
          <w:sz w:val="24"/>
          <w:szCs w:val="24"/>
        </w:rPr>
        <w:t>l</w:t>
      </w:r>
      <w:r w:rsidR="00824FAF">
        <w:rPr>
          <w:rFonts w:asciiTheme="majorBidi" w:hAnsiTheme="majorBidi" w:cstheme="majorBidi"/>
          <w:sz w:val="24"/>
          <w:szCs w:val="24"/>
        </w:rPr>
        <w:t>isants et les besoins de la culture.</w:t>
      </w:r>
    </w:p>
    <w:p w:rsidR="00AC401C" w:rsidRDefault="00051115" w:rsidP="00051115">
      <w:pPr>
        <w:jc w:val="both"/>
        <w:rPr>
          <w:rFonts w:asciiTheme="majorBidi" w:hAnsiTheme="majorBidi" w:cstheme="majorBidi"/>
          <w:b/>
          <w:bCs/>
          <w:sz w:val="24"/>
          <w:szCs w:val="24"/>
        </w:rPr>
      </w:pPr>
      <w:r w:rsidRPr="00051115">
        <w:rPr>
          <w:rFonts w:asciiTheme="majorBidi" w:hAnsiTheme="majorBidi" w:cstheme="majorBidi"/>
          <w:b/>
          <w:bCs/>
          <w:sz w:val="24"/>
          <w:szCs w:val="24"/>
        </w:rPr>
        <w:t xml:space="preserve">IV.4. Besoins bruts </w:t>
      </w:r>
    </w:p>
    <w:p w:rsidR="00051115" w:rsidRDefault="00051115" w:rsidP="00051115">
      <w:pPr>
        <w:jc w:val="both"/>
        <w:rPr>
          <w:rFonts w:asciiTheme="majorBidi" w:hAnsiTheme="majorBidi" w:cstheme="majorBidi"/>
          <w:sz w:val="24"/>
          <w:szCs w:val="24"/>
        </w:rPr>
      </w:pPr>
      <w:r>
        <w:rPr>
          <w:rFonts w:asciiTheme="majorBidi" w:hAnsiTheme="majorBidi" w:cstheme="majorBidi"/>
          <w:b/>
          <w:bCs/>
          <w:sz w:val="24"/>
          <w:szCs w:val="24"/>
        </w:rPr>
        <w:t xml:space="preserve">. Prélèvements. </w:t>
      </w:r>
      <w:r>
        <w:rPr>
          <w:rFonts w:asciiTheme="majorBidi" w:hAnsiTheme="majorBidi" w:cstheme="majorBidi"/>
          <w:sz w:val="24"/>
          <w:szCs w:val="24"/>
        </w:rPr>
        <w:t xml:space="preserve">La quantité d’éléments que la culture intègre dans sa matière vivante à des fins de croissance et de développement est définie par le terme « prélèvement ». Leur appréciation est la méthode la plus simple et la plus sûre pour juger des besoins nutritifs d’une culture. </w:t>
      </w:r>
    </w:p>
    <w:p w:rsidR="00051115" w:rsidRDefault="00051115" w:rsidP="00051115">
      <w:pPr>
        <w:jc w:val="both"/>
        <w:rPr>
          <w:rFonts w:asciiTheme="majorBidi" w:hAnsiTheme="majorBidi" w:cstheme="majorBidi"/>
          <w:sz w:val="24"/>
          <w:szCs w:val="24"/>
        </w:rPr>
      </w:pPr>
      <w:r>
        <w:rPr>
          <w:rFonts w:asciiTheme="majorBidi" w:hAnsiTheme="majorBidi" w:cstheme="majorBidi"/>
          <w:b/>
          <w:bCs/>
          <w:sz w:val="24"/>
          <w:szCs w:val="24"/>
        </w:rPr>
        <w:t xml:space="preserve">. Exportations. </w:t>
      </w:r>
      <w:r>
        <w:rPr>
          <w:rFonts w:asciiTheme="majorBidi" w:hAnsiTheme="majorBidi" w:cstheme="majorBidi"/>
          <w:sz w:val="24"/>
          <w:szCs w:val="24"/>
        </w:rPr>
        <w:t>Les « exportations » se</w:t>
      </w:r>
      <w:r w:rsidR="00E31401">
        <w:rPr>
          <w:rFonts w:asciiTheme="majorBidi" w:hAnsiTheme="majorBidi" w:cstheme="majorBidi"/>
          <w:sz w:val="24"/>
          <w:szCs w:val="24"/>
        </w:rPr>
        <w:t xml:space="preserve"> </w:t>
      </w:r>
      <w:r>
        <w:rPr>
          <w:rFonts w:asciiTheme="majorBidi" w:hAnsiTheme="majorBidi" w:cstheme="majorBidi"/>
          <w:sz w:val="24"/>
          <w:szCs w:val="24"/>
        </w:rPr>
        <w:t>rapp</w:t>
      </w:r>
      <w:r w:rsidR="00E31401">
        <w:rPr>
          <w:rFonts w:asciiTheme="majorBidi" w:hAnsiTheme="majorBidi" w:cstheme="majorBidi"/>
          <w:sz w:val="24"/>
          <w:szCs w:val="24"/>
        </w:rPr>
        <w:t>o</w:t>
      </w:r>
      <w:r>
        <w:rPr>
          <w:rFonts w:asciiTheme="majorBidi" w:hAnsiTheme="majorBidi" w:cstheme="majorBidi"/>
          <w:sz w:val="24"/>
          <w:szCs w:val="24"/>
        </w:rPr>
        <w:t>rt</w:t>
      </w:r>
      <w:r w:rsidR="00E31401">
        <w:rPr>
          <w:rFonts w:asciiTheme="majorBidi" w:hAnsiTheme="majorBidi" w:cstheme="majorBidi"/>
          <w:sz w:val="24"/>
          <w:szCs w:val="24"/>
        </w:rPr>
        <w:t xml:space="preserve">ent à la partie des éléments nutritifs qui est définitivement retirée du sol lorsque la récolte </w:t>
      </w:r>
      <w:r w:rsidR="00114141">
        <w:rPr>
          <w:rFonts w:asciiTheme="majorBidi" w:hAnsiTheme="majorBidi" w:cstheme="majorBidi"/>
          <w:sz w:val="24"/>
          <w:szCs w:val="24"/>
        </w:rPr>
        <w:t>est consommée. Lorsque, à la suite de récolte, des parties inutilisées</w:t>
      </w:r>
      <w:r w:rsidR="008114A7">
        <w:rPr>
          <w:rFonts w:asciiTheme="majorBidi" w:hAnsiTheme="majorBidi" w:cstheme="majorBidi"/>
          <w:sz w:val="24"/>
          <w:szCs w:val="24"/>
        </w:rPr>
        <w:t xml:space="preserve"> de la culture</w:t>
      </w:r>
      <w:r w:rsidR="00114141">
        <w:rPr>
          <w:rFonts w:asciiTheme="majorBidi" w:hAnsiTheme="majorBidi" w:cstheme="majorBidi"/>
          <w:sz w:val="24"/>
          <w:szCs w:val="24"/>
        </w:rPr>
        <w:t xml:space="preserve"> sont retournées au sol pour y être incorporées, une certaines « restitution » des prélèvement</w:t>
      </w:r>
      <w:r w:rsidR="008114A7">
        <w:rPr>
          <w:rFonts w:asciiTheme="majorBidi" w:hAnsiTheme="majorBidi" w:cstheme="majorBidi"/>
          <w:sz w:val="24"/>
          <w:szCs w:val="24"/>
        </w:rPr>
        <w:t>s</w:t>
      </w:r>
      <w:r w:rsidR="00114141">
        <w:rPr>
          <w:rFonts w:asciiTheme="majorBidi" w:hAnsiTheme="majorBidi" w:cstheme="majorBidi"/>
          <w:sz w:val="24"/>
          <w:szCs w:val="24"/>
        </w:rPr>
        <w:t xml:space="preserve"> en éléments nutritifs est ainsi réalisée. Les « pertes » sont consécutives à l’action érosive du vent et des eaux de ruissellement, à l’évacuation des eaux de drainage </w:t>
      </w:r>
      <w:r w:rsidR="008114A7">
        <w:rPr>
          <w:rFonts w:asciiTheme="majorBidi" w:hAnsiTheme="majorBidi" w:cstheme="majorBidi"/>
          <w:sz w:val="24"/>
          <w:szCs w:val="24"/>
        </w:rPr>
        <w:t>et à la migration des éléments à travers le profil de sol jusqu’à la nappe phréatique.</w:t>
      </w:r>
    </w:p>
    <w:p w:rsidR="00A25ECF" w:rsidRDefault="00A25ECF" w:rsidP="00051115">
      <w:pPr>
        <w:jc w:val="both"/>
        <w:rPr>
          <w:rFonts w:asciiTheme="majorBidi" w:hAnsiTheme="majorBidi" w:cstheme="majorBidi"/>
          <w:b/>
          <w:bCs/>
          <w:sz w:val="24"/>
          <w:szCs w:val="24"/>
        </w:rPr>
      </w:pPr>
      <w:r w:rsidRPr="001E5981">
        <w:rPr>
          <w:rFonts w:asciiTheme="majorBidi" w:hAnsiTheme="majorBidi" w:cstheme="majorBidi"/>
          <w:b/>
          <w:bCs/>
          <w:sz w:val="24"/>
          <w:szCs w:val="24"/>
        </w:rPr>
        <w:t>IV.5.</w:t>
      </w:r>
      <w:r w:rsidR="001E5981">
        <w:rPr>
          <w:rFonts w:asciiTheme="majorBidi" w:hAnsiTheme="majorBidi" w:cstheme="majorBidi"/>
          <w:b/>
          <w:bCs/>
          <w:sz w:val="24"/>
          <w:szCs w:val="24"/>
        </w:rPr>
        <w:t xml:space="preserve"> </w:t>
      </w:r>
      <w:r w:rsidRPr="001E5981">
        <w:rPr>
          <w:rFonts w:asciiTheme="majorBidi" w:hAnsiTheme="majorBidi" w:cstheme="majorBidi"/>
          <w:b/>
          <w:bCs/>
          <w:sz w:val="24"/>
          <w:szCs w:val="24"/>
        </w:rPr>
        <w:t>Analyse du sol</w:t>
      </w:r>
    </w:p>
    <w:p w:rsidR="001E5981" w:rsidRDefault="001E5981" w:rsidP="001E5981">
      <w:pPr>
        <w:jc w:val="both"/>
        <w:rPr>
          <w:rFonts w:asciiTheme="majorBidi" w:hAnsiTheme="majorBidi" w:cstheme="majorBidi"/>
          <w:sz w:val="24"/>
          <w:szCs w:val="24"/>
        </w:rPr>
      </w:pPr>
      <w:r w:rsidRPr="001E5981">
        <w:rPr>
          <w:rFonts w:asciiTheme="majorBidi" w:hAnsiTheme="majorBidi" w:cstheme="majorBidi"/>
          <w:sz w:val="24"/>
          <w:szCs w:val="24"/>
        </w:rPr>
        <w:t xml:space="preserve">Le sol </w:t>
      </w:r>
      <w:r>
        <w:rPr>
          <w:rFonts w:asciiTheme="majorBidi" w:hAnsiTheme="majorBidi" w:cstheme="majorBidi"/>
          <w:sz w:val="24"/>
          <w:szCs w:val="24"/>
        </w:rPr>
        <w:t>doit procurer un approvisionnement en élément nutritifs suffisant et bien réparti dans le temps. Les analyses permettent, au moyen de solutions extractives, de simuler sa capacité de fournir l’un ou l’</w:t>
      </w:r>
      <w:r w:rsidR="0024007B">
        <w:rPr>
          <w:rFonts w:asciiTheme="majorBidi" w:hAnsiTheme="majorBidi" w:cstheme="majorBidi"/>
          <w:sz w:val="24"/>
          <w:szCs w:val="24"/>
        </w:rPr>
        <w:t>autre des é</w:t>
      </w:r>
      <w:r>
        <w:rPr>
          <w:rFonts w:asciiTheme="majorBidi" w:hAnsiTheme="majorBidi" w:cstheme="majorBidi"/>
          <w:sz w:val="24"/>
          <w:szCs w:val="24"/>
        </w:rPr>
        <w:t>léments nutritifs, suivant les objectifs poursuivis, la solution extractive peut varier de l’eau distillée aux acides forts</w:t>
      </w:r>
      <w:r w:rsidR="00D91E29">
        <w:rPr>
          <w:rFonts w:asciiTheme="majorBidi" w:hAnsiTheme="majorBidi" w:cstheme="majorBidi"/>
          <w:sz w:val="24"/>
          <w:szCs w:val="24"/>
        </w:rPr>
        <w:t xml:space="preserve">. En général, on donne la préférence </w:t>
      </w:r>
      <w:r w:rsidR="007B766E">
        <w:rPr>
          <w:rFonts w:asciiTheme="majorBidi" w:hAnsiTheme="majorBidi" w:cstheme="majorBidi"/>
          <w:sz w:val="24"/>
          <w:szCs w:val="24"/>
        </w:rPr>
        <w:t>aux solutions</w:t>
      </w:r>
      <w:r w:rsidR="00D91E29">
        <w:rPr>
          <w:rFonts w:asciiTheme="majorBidi" w:hAnsiTheme="majorBidi" w:cstheme="majorBidi"/>
          <w:sz w:val="24"/>
          <w:szCs w:val="24"/>
        </w:rPr>
        <w:t xml:space="preserve"> dont la capacité d’extraction se rapproche la plus de celle du système racinaire.  </w:t>
      </w:r>
      <w:r w:rsidR="007B766E">
        <w:rPr>
          <w:rFonts w:asciiTheme="majorBidi" w:hAnsiTheme="majorBidi" w:cstheme="majorBidi"/>
          <w:sz w:val="24"/>
          <w:szCs w:val="24"/>
        </w:rPr>
        <w:t>On utilise le plus souvent des acides faibles bien tamponnés. Les méthodes différentes essentiellement par le type de solution extractive, le rapport sol / solution extractive et la durée de l’extraction. Les méthodes sont validées en corrélant la quantité extraite au rendement ou, avec plus de succès, à l’absorption de l’élément par la plante.</w:t>
      </w:r>
    </w:p>
    <w:p w:rsidR="00566574" w:rsidRDefault="0024007B" w:rsidP="0084591C">
      <w:pPr>
        <w:jc w:val="both"/>
        <w:rPr>
          <w:rFonts w:asciiTheme="majorBidi" w:hAnsiTheme="majorBidi" w:cstheme="majorBidi"/>
          <w:sz w:val="24"/>
          <w:szCs w:val="24"/>
        </w:rPr>
      </w:pPr>
      <w:r>
        <w:rPr>
          <w:rFonts w:asciiTheme="majorBidi" w:hAnsiTheme="majorBidi" w:cstheme="majorBidi"/>
          <w:sz w:val="24"/>
          <w:szCs w:val="24"/>
        </w:rPr>
        <w:t>Lorsque les analyses ne portent que sur deux éléments (P et K), le risque est grand de négliger d’autres facteurs importants. De même, en règle général, les échantillons sont limités à la couche arable et négligent le fait que les cultures peuvent exploiter</w:t>
      </w:r>
      <w:r w:rsidR="00F90D8B">
        <w:rPr>
          <w:rFonts w:asciiTheme="majorBidi" w:hAnsiTheme="majorBidi" w:cstheme="majorBidi"/>
          <w:sz w:val="24"/>
          <w:szCs w:val="24"/>
        </w:rPr>
        <w:t xml:space="preserve"> une profondeur bien plus grande. Les analyses de sols sont surtout utiles pour apprécier la capacité des sols pauvres à fournir les besoins des cultures. En situation d’agriculture intensive, les sols contiennent généralement des quantités largement suffisantes ou même excessives de fertilisants. Les analyses de sols sont alors utiles pour déceler les excès nocifs pour l’environnement et réaliser des économies d’engrais. Avec les sols riches, on distingue trois attitudes agronomiques (</w:t>
      </w:r>
      <w:proofErr w:type="spellStart"/>
      <w:r w:rsidR="00F90D8B">
        <w:rPr>
          <w:rFonts w:asciiTheme="majorBidi" w:hAnsiTheme="majorBidi" w:cstheme="majorBidi"/>
          <w:sz w:val="24"/>
          <w:szCs w:val="24"/>
        </w:rPr>
        <w:t>Beriger</w:t>
      </w:r>
      <w:proofErr w:type="spellEnd"/>
      <w:r w:rsidR="00F90D8B">
        <w:rPr>
          <w:rFonts w:asciiTheme="majorBidi" w:hAnsiTheme="majorBidi" w:cstheme="majorBidi"/>
          <w:sz w:val="24"/>
          <w:szCs w:val="24"/>
        </w:rPr>
        <w:t xml:space="preserve">, 1985) : </w:t>
      </w:r>
      <w:r w:rsidR="00F90D8B">
        <w:rPr>
          <w:rFonts w:asciiTheme="majorBidi" w:hAnsiTheme="majorBidi" w:cstheme="majorBidi"/>
          <w:sz w:val="24"/>
          <w:szCs w:val="24"/>
        </w:rPr>
        <w:tab/>
      </w:r>
      <w:r w:rsidR="00F90D8B">
        <w:rPr>
          <w:rFonts w:asciiTheme="majorBidi" w:hAnsiTheme="majorBidi" w:cstheme="majorBidi"/>
          <w:sz w:val="24"/>
          <w:szCs w:val="24"/>
        </w:rPr>
        <w:tab/>
      </w:r>
      <w:r w:rsidR="00F90D8B">
        <w:rPr>
          <w:rFonts w:asciiTheme="majorBidi" w:hAnsiTheme="majorBidi" w:cstheme="majorBidi"/>
          <w:sz w:val="24"/>
          <w:szCs w:val="24"/>
        </w:rPr>
        <w:tab/>
      </w:r>
      <w:r w:rsidR="00F90D8B">
        <w:rPr>
          <w:rFonts w:asciiTheme="majorBidi" w:hAnsiTheme="majorBidi" w:cstheme="majorBidi"/>
          <w:sz w:val="24"/>
          <w:szCs w:val="24"/>
        </w:rPr>
        <w:tab/>
      </w:r>
      <w:r w:rsidR="00F90D8B">
        <w:rPr>
          <w:rFonts w:asciiTheme="majorBidi" w:hAnsiTheme="majorBidi" w:cstheme="majorBidi"/>
          <w:sz w:val="24"/>
          <w:szCs w:val="24"/>
        </w:rPr>
        <w:tab/>
      </w:r>
      <w:r w:rsidR="00F90D8B">
        <w:rPr>
          <w:rFonts w:asciiTheme="majorBidi" w:hAnsiTheme="majorBidi" w:cstheme="majorBidi"/>
          <w:sz w:val="24"/>
          <w:szCs w:val="24"/>
        </w:rPr>
        <w:tab/>
      </w:r>
      <w:r w:rsidR="00F90D8B">
        <w:rPr>
          <w:rFonts w:asciiTheme="majorBidi" w:hAnsiTheme="majorBidi" w:cstheme="majorBidi"/>
          <w:sz w:val="24"/>
          <w:szCs w:val="24"/>
        </w:rPr>
        <w:tab/>
      </w:r>
      <w:r w:rsidR="00F90D8B">
        <w:rPr>
          <w:rFonts w:asciiTheme="majorBidi" w:hAnsiTheme="majorBidi" w:cstheme="majorBidi"/>
          <w:sz w:val="24"/>
          <w:szCs w:val="24"/>
        </w:rPr>
        <w:tab/>
      </w:r>
      <w:r w:rsidR="00F90D8B">
        <w:rPr>
          <w:rFonts w:asciiTheme="majorBidi" w:hAnsiTheme="majorBidi" w:cstheme="majorBidi"/>
          <w:sz w:val="24"/>
          <w:szCs w:val="24"/>
        </w:rPr>
        <w:tab/>
      </w:r>
      <w:r w:rsidR="00F90D8B">
        <w:rPr>
          <w:rFonts w:asciiTheme="majorBidi" w:hAnsiTheme="majorBidi" w:cstheme="majorBidi"/>
          <w:sz w:val="24"/>
          <w:szCs w:val="24"/>
        </w:rPr>
        <w:tab/>
        <w:t xml:space="preserve">        1- le comblement des exportations</w:t>
      </w:r>
      <w:r w:rsidR="0084591C">
        <w:rPr>
          <w:rFonts w:asciiTheme="majorBidi" w:hAnsiTheme="majorBidi" w:cstheme="majorBidi"/>
          <w:sz w:val="24"/>
          <w:szCs w:val="24"/>
        </w:rPr>
        <w:t> </w:t>
      </w:r>
      <w:proofErr w:type="gramStart"/>
      <w:r w:rsidR="0084591C">
        <w:rPr>
          <w:rFonts w:asciiTheme="majorBidi" w:hAnsiTheme="majorBidi" w:cstheme="majorBidi"/>
          <w:sz w:val="24"/>
          <w:szCs w:val="24"/>
        </w:rPr>
        <w:t>;</w:t>
      </w:r>
      <w:r w:rsidR="00F90D8B">
        <w:rPr>
          <w:rFonts w:asciiTheme="majorBidi" w:hAnsiTheme="majorBidi" w:cstheme="majorBidi"/>
          <w:sz w:val="24"/>
          <w:szCs w:val="24"/>
        </w:rPr>
        <w:t xml:space="preserve"> </w:t>
      </w:r>
      <w:r w:rsidR="0084591C">
        <w:rPr>
          <w:rFonts w:asciiTheme="majorBidi" w:hAnsiTheme="majorBidi" w:cstheme="majorBidi"/>
          <w:sz w:val="24"/>
          <w:szCs w:val="24"/>
        </w:rPr>
        <w:t xml:space="preserve"> </w:t>
      </w:r>
      <w:r w:rsidR="0084591C">
        <w:rPr>
          <w:rFonts w:asciiTheme="majorBidi" w:hAnsiTheme="majorBidi" w:cstheme="majorBidi"/>
          <w:sz w:val="24"/>
          <w:szCs w:val="24"/>
        </w:rPr>
        <w:tab/>
      </w:r>
      <w:proofErr w:type="gramEnd"/>
      <w:r w:rsidR="0084591C">
        <w:rPr>
          <w:rFonts w:asciiTheme="majorBidi" w:hAnsiTheme="majorBidi" w:cstheme="majorBidi"/>
          <w:sz w:val="24"/>
          <w:szCs w:val="24"/>
        </w:rPr>
        <w:tab/>
      </w:r>
      <w:r w:rsidR="0084591C">
        <w:rPr>
          <w:rFonts w:asciiTheme="majorBidi" w:hAnsiTheme="majorBidi" w:cstheme="majorBidi"/>
          <w:sz w:val="24"/>
          <w:szCs w:val="24"/>
        </w:rPr>
        <w:tab/>
      </w:r>
      <w:r w:rsidR="0084591C">
        <w:rPr>
          <w:rFonts w:asciiTheme="majorBidi" w:hAnsiTheme="majorBidi" w:cstheme="majorBidi"/>
          <w:sz w:val="24"/>
          <w:szCs w:val="24"/>
        </w:rPr>
        <w:tab/>
      </w:r>
      <w:r w:rsidR="0084591C">
        <w:rPr>
          <w:rFonts w:asciiTheme="majorBidi" w:hAnsiTheme="majorBidi" w:cstheme="majorBidi"/>
          <w:sz w:val="24"/>
          <w:szCs w:val="24"/>
        </w:rPr>
        <w:tab/>
      </w:r>
      <w:r w:rsidR="0084591C">
        <w:rPr>
          <w:rFonts w:asciiTheme="majorBidi" w:hAnsiTheme="majorBidi" w:cstheme="majorBidi"/>
          <w:sz w:val="24"/>
          <w:szCs w:val="24"/>
        </w:rPr>
        <w:tab/>
      </w:r>
      <w:r w:rsidR="0084591C">
        <w:rPr>
          <w:rFonts w:asciiTheme="majorBidi" w:hAnsiTheme="majorBidi" w:cstheme="majorBidi"/>
          <w:sz w:val="24"/>
          <w:szCs w:val="24"/>
        </w:rPr>
        <w:tab/>
        <w:t xml:space="preserve">        2- l’équilibre des éléments caractérisant la capacité d’échange cationique (C.E.C.), 65 % par le  </w:t>
      </w:r>
      <w:r w:rsidR="0084591C">
        <w:rPr>
          <w:rFonts w:asciiTheme="majorBidi" w:hAnsiTheme="majorBidi" w:cstheme="majorBidi"/>
          <w:sz w:val="24"/>
          <w:szCs w:val="24"/>
        </w:rPr>
        <w:lastRenderedPageBreak/>
        <w:t>Ca</w:t>
      </w:r>
      <w:r w:rsidR="0084591C">
        <w:rPr>
          <w:rFonts w:asciiTheme="majorBidi" w:hAnsiTheme="majorBidi" w:cstheme="majorBidi"/>
          <w:sz w:val="24"/>
          <w:szCs w:val="24"/>
          <w:vertAlign w:val="superscript"/>
        </w:rPr>
        <w:t xml:space="preserve">++ </w:t>
      </w:r>
      <w:r w:rsidR="0084591C">
        <w:rPr>
          <w:rFonts w:asciiTheme="majorBidi" w:hAnsiTheme="majorBidi" w:cstheme="majorBidi"/>
          <w:sz w:val="24"/>
          <w:szCs w:val="24"/>
        </w:rPr>
        <w:t>, 10 % par le Mg</w:t>
      </w:r>
      <w:r w:rsidR="0084591C">
        <w:rPr>
          <w:rFonts w:asciiTheme="majorBidi" w:hAnsiTheme="majorBidi" w:cstheme="majorBidi"/>
          <w:sz w:val="24"/>
          <w:szCs w:val="24"/>
          <w:vertAlign w:val="superscript"/>
        </w:rPr>
        <w:t xml:space="preserve">++ </w:t>
      </w:r>
      <w:r w:rsidR="0084591C">
        <w:rPr>
          <w:rFonts w:asciiTheme="majorBidi" w:hAnsiTheme="majorBidi" w:cstheme="majorBidi"/>
          <w:sz w:val="24"/>
          <w:szCs w:val="24"/>
        </w:rPr>
        <w:t>, 5 % par le K</w:t>
      </w:r>
      <w:r w:rsidR="0084591C">
        <w:rPr>
          <w:rFonts w:asciiTheme="majorBidi" w:hAnsiTheme="majorBidi" w:cstheme="majorBidi"/>
          <w:sz w:val="24"/>
          <w:szCs w:val="24"/>
          <w:vertAlign w:val="superscript"/>
        </w:rPr>
        <w:t xml:space="preserve">+ </w:t>
      </w:r>
      <w:r w:rsidR="0084591C">
        <w:rPr>
          <w:rFonts w:asciiTheme="majorBidi" w:hAnsiTheme="majorBidi" w:cstheme="majorBidi"/>
          <w:sz w:val="24"/>
          <w:szCs w:val="24"/>
        </w:rPr>
        <w:t>et 20 % qui reste par H</w:t>
      </w:r>
      <w:r w:rsidR="0084591C">
        <w:rPr>
          <w:rFonts w:asciiTheme="majorBidi" w:hAnsiTheme="majorBidi" w:cstheme="majorBidi"/>
          <w:sz w:val="24"/>
          <w:szCs w:val="24"/>
          <w:vertAlign w:val="superscript"/>
        </w:rPr>
        <w:t>+</w:t>
      </w:r>
      <w:r w:rsidR="0084591C">
        <w:rPr>
          <w:rFonts w:asciiTheme="majorBidi" w:hAnsiTheme="majorBidi" w:cstheme="majorBidi"/>
          <w:sz w:val="24"/>
          <w:szCs w:val="24"/>
        </w:rPr>
        <w:t>, Na</w:t>
      </w:r>
      <w:r w:rsidR="0084591C">
        <w:rPr>
          <w:rFonts w:asciiTheme="majorBidi" w:hAnsiTheme="majorBidi" w:cstheme="majorBidi"/>
          <w:sz w:val="24"/>
          <w:szCs w:val="24"/>
          <w:vertAlign w:val="superscript"/>
        </w:rPr>
        <w:t>+</w:t>
      </w:r>
      <w:r w:rsidR="0084591C">
        <w:rPr>
          <w:rFonts w:asciiTheme="majorBidi" w:hAnsiTheme="majorBidi" w:cstheme="majorBidi"/>
          <w:sz w:val="24"/>
          <w:szCs w:val="24"/>
        </w:rPr>
        <w:t xml:space="preserve"> et les autres cations               3- le maintien des réserves du sol au niveau duquel aucune augmentation de rendement ne peut être obtenu.</w:t>
      </w:r>
    </w:p>
    <w:p w:rsidR="0084591C" w:rsidRDefault="0084591C" w:rsidP="0084591C">
      <w:pPr>
        <w:jc w:val="both"/>
        <w:rPr>
          <w:rFonts w:asciiTheme="majorBidi" w:hAnsiTheme="majorBidi" w:cstheme="majorBidi"/>
          <w:b/>
          <w:bCs/>
          <w:sz w:val="24"/>
          <w:szCs w:val="24"/>
        </w:rPr>
      </w:pPr>
      <w:r w:rsidRPr="0084591C">
        <w:rPr>
          <w:rFonts w:asciiTheme="majorBidi" w:hAnsiTheme="majorBidi" w:cstheme="majorBidi"/>
          <w:b/>
          <w:bCs/>
          <w:sz w:val="24"/>
          <w:szCs w:val="24"/>
        </w:rPr>
        <w:t>IV.6. Analyse foliaire</w:t>
      </w:r>
    </w:p>
    <w:p w:rsidR="006E2A4C" w:rsidRDefault="00FC7830" w:rsidP="00FC7830">
      <w:pPr>
        <w:jc w:val="both"/>
        <w:rPr>
          <w:rFonts w:asciiTheme="majorBidi" w:hAnsiTheme="majorBidi" w:cstheme="majorBidi"/>
          <w:sz w:val="24"/>
          <w:szCs w:val="24"/>
        </w:rPr>
      </w:pPr>
      <w:r w:rsidRPr="00FC7830">
        <w:rPr>
          <w:rFonts w:asciiTheme="majorBidi" w:hAnsiTheme="majorBidi" w:cstheme="majorBidi"/>
          <w:b/>
          <w:bCs/>
          <w:sz w:val="24"/>
          <w:szCs w:val="24"/>
        </w:rPr>
        <w:t>. Valeur minimale critique</w:t>
      </w:r>
      <w:r>
        <w:rPr>
          <w:rFonts w:asciiTheme="majorBidi" w:hAnsiTheme="majorBidi" w:cstheme="majorBidi"/>
          <w:b/>
          <w:bCs/>
          <w:sz w:val="24"/>
          <w:szCs w:val="24"/>
        </w:rPr>
        <w:t xml:space="preserve">. </w:t>
      </w:r>
      <w:r>
        <w:rPr>
          <w:rFonts w:asciiTheme="majorBidi" w:hAnsiTheme="majorBidi" w:cstheme="majorBidi"/>
          <w:sz w:val="24"/>
          <w:szCs w:val="24"/>
        </w:rPr>
        <w:t xml:space="preserve">Historiquement, les programmes destinés à diagnostiquer les besoins en fertilisants à partir des analyses foliaires ont été basés sur la « valeur minimale critique », définie comme la concentration de l’élément (dans une certaine partie de la plante, et à un stade précis) sous laquelle une baisse de rendement de 5 à 10 % peut être prévue. Cette approche </w:t>
      </w:r>
      <w:r w:rsidR="00046FDC">
        <w:rPr>
          <w:rFonts w:asciiTheme="majorBidi" w:hAnsiTheme="majorBidi" w:cstheme="majorBidi"/>
          <w:sz w:val="24"/>
          <w:szCs w:val="24"/>
        </w:rPr>
        <w:t>rencontre de sérieuses limitations (</w:t>
      </w:r>
      <w:proofErr w:type="spellStart"/>
      <w:r w:rsidR="00046FDC">
        <w:rPr>
          <w:rFonts w:asciiTheme="majorBidi" w:hAnsiTheme="majorBidi" w:cstheme="majorBidi"/>
          <w:sz w:val="24"/>
          <w:szCs w:val="24"/>
        </w:rPr>
        <w:t>Sumner</w:t>
      </w:r>
      <w:proofErr w:type="spellEnd"/>
      <w:r w:rsidR="00046FDC">
        <w:rPr>
          <w:rFonts w:asciiTheme="majorBidi" w:hAnsiTheme="majorBidi" w:cstheme="majorBidi"/>
          <w:sz w:val="24"/>
          <w:szCs w:val="24"/>
        </w:rPr>
        <w:t>, 1979). Comme pour l’analyse de sol, dès que la valeur minimale critique est atteinte, l’interprétation de la relation entre la concentration de cet élément et la croissance est rendue difficile par la présence d’interactions avec d’autres éléments nutritifs (</w:t>
      </w:r>
      <w:proofErr w:type="spellStart"/>
      <w:r w:rsidR="00046FDC">
        <w:rPr>
          <w:rFonts w:asciiTheme="majorBidi" w:hAnsiTheme="majorBidi" w:cstheme="majorBidi"/>
          <w:sz w:val="24"/>
          <w:szCs w:val="24"/>
        </w:rPr>
        <w:t>Beringer</w:t>
      </w:r>
      <w:proofErr w:type="spellEnd"/>
      <w:r w:rsidR="00046FDC">
        <w:rPr>
          <w:rFonts w:asciiTheme="majorBidi" w:hAnsiTheme="majorBidi" w:cstheme="majorBidi"/>
          <w:sz w:val="24"/>
          <w:szCs w:val="24"/>
        </w:rPr>
        <w:t>, 1985)</w:t>
      </w:r>
    </w:p>
    <w:p w:rsidR="00046FDC" w:rsidRDefault="00046FDC" w:rsidP="00F0643D">
      <w:pPr>
        <w:jc w:val="both"/>
        <w:rPr>
          <w:rFonts w:asciiTheme="majorBidi" w:hAnsiTheme="majorBidi" w:cstheme="majorBidi"/>
          <w:sz w:val="24"/>
          <w:szCs w:val="24"/>
        </w:rPr>
      </w:pPr>
      <w:r>
        <w:rPr>
          <w:rFonts w:asciiTheme="majorBidi" w:hAnsiTheme="majorBidi" w:cstheme="majorBidi"/>
          <w:b/>
          <w:bCs/>
          <w:sz w:val="24"/>
          <w:szCs w:val="24"/>
        </w:rPr>
        <w:t>. DRIS.</w:t>
      </w:r>
      <w:r>
        <w:rPr>
          <w:rFonts w:asciiTheme="majorBidi" w:hAnsiTheme="majorBidi" w:cstheme="majorBidi"/>
          <w:sz w:val="24"/>
          <w:szCs w:val="24"/>
        </w:rPr>
        <w:t xml:space="preserve"> Le « DRIS » (</w:t>
      </w:r>
      <w:proofErr w:type="spellStart"/>
      <w:r>
        <w:rPr>
          <w:rFonts w:asciiTheme="majorBidi" w:hAnsiTheme="majorBidi" w:cstheme="majorBidi"/>
          <w:sz w:val="24"/>
          <w:szCs w:val="24"/>
        </w:rPr>
        <w:t>Diagnosis</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Recommendation</w:t>
      </w:r>
      <w:proofErr w:type="spellEnd"/>
      <w:r>
        <w:rPr>
          <w:rFonts w:asciiTheme="majorBidi" w:hAnsiTheme="majorBidi" w:cstheme="majorBidi"/>
          <w:sz w:val="24"/>
          <w:szCs w:val="24"/>
        </w:rPr>
        <w:t xml:space="preserve"> Integrated System) a été développé avec succès chez plusieurs cultures à partir des rapports d’éléments minéraux qui parviennent</w:t>
      </w:r>
      <w:r w:rsidR="004A22F5">
        <w:rPr>
          <w:rFonts w:asciiTheme="majorBidi" w:hAnsiTheme="majorBidi" w:cstheme="majorBidi"/>
          <w:sz w:val="24"/>
          <w:szCs w:val="24"/>
        </w:rPr>
        <w:t xml:space="preserve"> le mieux à caractériser les populations à </w:t>
      </w:r>
      <w:r w:rsidR="00F0643D">
        <w:rPr>
          <w:rFonts w:asciiTheme="majorBidi" w:hAnsiTheme="majorBidi" w:cstheme="majorBidi"/>
          <w:sz w:val="24"/>
          <w:szCs w:val="24"/>
        </w:rPr>
        <w:t>haut rendements (</w:t>
      </w:r>
      <w:proofErr w:type="spellStart"/>
      <w:r w:rsidR="00F0643D">
        <w:rPr>
          <w:rFonts w:asciiTheme="majorBidi" w:hAnsiTheme="majorBidi" w:cstheme="majorBidi"/>
          <w:sz w:val="24"/>
          <w:szCs w:val="24"/>
        </w:rPr>
        <w:t>Sumner</w:t>
      </w:r>
      <w:proofErr w:type="spellEnd"/>
      <w:r w:rsidR="00F0643D">
        <w:rPr>
          <w:rFonts w:asciiTheme="majorBidi" w:hAnsiTheme="majorBidi" w:cstheme="majorBidi"/>
          <w:sz w:val="24"/>
          <w:szCs w:val="24"/>
        </w:rPr>
        <w:t xml:space="preserve">, 1979 ; </w:t>
      </w:r>
      <w:proofErr w:type="spellStart"/>
      <w:r w:rsidR="00F0643D">
        <w:rPr>
          <w:rFonts w:asciiTheme="majorBidi" w:hAnsiTheme="majorBidi" w:cstheme="majorBidi"/>
          <w:sz w:val="24"/>
          <w:szCs w:val="24"/>
        </w:rPr>
        <w:t>Walworth</w:t>
      </w:r>
      <w:proofErr w:type="spellEnd"/>
      <w:r w:rsidR="00F0643D">
        <w:rPr>
          <w:rFonts w:asciiTheme="majorBidi" w:hAnsiTheme="majorBidi" w:cstheme="majorBidi"/>
          <w:sz w:val="24"/>
          <w:szCs w:val="24"/>
        </w:rPr>
        <w:t xml:space="preserve"> et </w:t>
      </w:r>
      <w:proofErr w:type="spellStart"/>
      <w:r w:rsidR="00F0643D">
        <w:rPr>
          <w:rFonts w:asciiTheme="majorBidi" w:hAnsiTheme="majorBidi" w:cstheme="majorBidi"/>
          <w:sz w:val="24"/>
          <w:szCs w:val="24"/>
        </w:rPr>
        <w:t>Sumner</w:t>
      </w:r>
      <w:proofErr w:type="spellEnd"/>
      <w:r w:rsidR="00F0643D">
        <w:rPr>
          <w:rFonts w:asciiTheme="majorBidi" w:hAnsiTheme="majorBidi" w:cstheme="majorBidi"/>
          <w:sz w:val="24"/>
          <w:szCs w:val="24"/>
        </w:rPr>
        <w:t xml:space="preserve">, 1987). Les rapports qui unissent les éléments minéraux entre eux sont souvent moins variables que les concentrations individuelles. </w:t>
      </w:r>
    </w:p>
    <w:p w:rsidR="006957C1" w:rsidRDefault="006957C1" w:rsidP="00615C6D">
      <w:pPr>
        <w:jc w:val="both"/>
        <w:rPr>
          <w:rFonts w:asciiTheme="majorBidi" w:hAnsiTheme="majorBidi" w:cstheme="majorBidi"/>
          <w:sz w:val="24"/>
          <w:szCs w:val="24"/>
        </w:rPr>
      </w:pPr>
      <w:r w:rsidRPr="006957C1">
        <w:rPr>
          <w:rFonts w:asciiTheme="majorBidi" w:hAnsiTheme="majorBidi" w:cstheme="majorBidi"/>
          <w:b/>
          <w:bCs/>
          <w:sz w:val="24"/>
          <w:szCs w:val="24"/>
        </w:rPr>
        <w:t>. Coef</w:t>
      </w:r>
      <w:r>
        <w:rPr>
          <w:rFonts w:asciiTheme="majorBidi" w:hAnsiTheme="majorBidi" w:cstheme="majorBidi"/>
          <w:b/>
          <w:bCs/>
          <w:sz w:val="24"/>
          <w:szCs w:val="24"/>
        </w:rPr>
        <w:t>f</w:t>
      </w:r>
      <w:r w:rsidRPr="006957C1">
        <w:rPr>
          <w:rFonts w:asciiTheme="majorBidi" w:hAnsiTheme="majorBidi" w:cstheme="majorBidi"/>
          <w:b/>
          <w:bCs/>
          <w:sz w:val="24"/>
          <w:szCs w:val="24"/>
        </w:rPr>
        <w:t>icient d’absorption</w:t>
      </w:r>
      <w:r>
        <w:rPr>
          <w:rFonts w:asciiTheme="majorBidi" w:hAnsiTheme="majorBidi" w:cstheme="majorBidi"/>
          <w:b/>
          <w:bCs/>
          <w:sz w:val="24"/>
          <w:szCs w:val="24"/>
        </w:rPr>
        <w:t xml:space="preserve">. </w:t>
      </w:r>
      <w:r>
        <w:rPr>
          <w:rFonts w:asciiTheme="majorBidi" w:hAnsiTheme="majorBidi" w:cstheme="majorBidi"/>
          <w:sz w:val="24"/>
          <w:szCs w:val="24"/>
        </w:rPr>
        <w:t>Dans le cas d’espèces pérennes vivant en association, comme c’est le cas des prairies ou des pâturages, on a montré (</w:t>
      </w:r>
      <w:proofErr w:type="spellStart"/>
      <w:r>
        <w:rPr>
          <w:rFonts w:asciiTheme="majorBidi" w:hAnsiTheme="majorBidi" w:cstheme="majorBidi"/>
          <w:sz w:val="24"/>
          <w:szCs w:val="24"/>
        </w:rPr>
        <w:t>Lambet</w:t>
      </w:r>
      <w:proofErr w:type="spellEnd"/>
      <w:r>
        <w:rPr>
          <w:rFonts w:asciiTheme="majorBidi" w:hAnsiTheme="majorBidi" w:cstheme="majorBidi"/>
          <w:sz w:val="24"/>
          <w:szCs w:val="24"/>
        </w:rPr>
        <w:t xml:space="preserve"> et al., 1972 et </w:t>
      </w:r>
      <w:proofErr w:type="spellStart"/>
      <w:r>
        <w:rPr>
          <w:rFonts w:asciiTheme="majorBidi" w:hAnsiTheme="majorBidi" w:cstheme="majorBidi"/>
          <w:sz w:val="24"/>
          <w:szCs w:val="24"/>
        </w:rPr>
        <w:t>Lambet</w:t>
      </w:r>
      <w:proofErr w:type="spellEnd"/>
      <w:r>
        <w:rPr>
          <w:rFonts w:asciiTheme="majorBidi" w:hAnsiTheme="majorBidi" w:cstheme="majorBidi"/>
          <w:sz w:val="24"/>
          <w:szCs w:val="24"/>
        </w:rPr>
        <w:t xml:space="preserve"> et al</w:t>
      </w:r>
      <w:r>
        <w:rPr>
          <w:rFonts w:asciiTheme="majorBidi" w:hAnsiTheme="majorBidi" w:cstheme="majorBidi"/>
          <w:sz w:val="24"/>
          <w:szCs w:val="24"/>
        </w:rPr>
        <w:t xml:space="preserve">.,1973) qu’on pouvait utiliser un coefficient synthétique défini comme le </w:t>
      </w:r>
      <w:r w:rsidRPr="006957C1">
        <w:rPr>
          <w:rFonts w:asciiTheme="majorBidi" w:hAnsiTheme="majorBidi" w:cstheme="majorBidi"/>
          <w:b/>
          <w:bCs/>
          <w:sz w:val="24"/>
          <w:szCs w:val="24"/>
        </w:rPr>
        <w:t>Coefficient spécifique</w:t>
      </w:r>
      <w:r>
        <w:rPr>
          <w:rFonts w:asciiTheme="majorBidi" w:hAnsiTheme="majorBidi" w:cstheme="majorBidi"/>
          <w:b/>
          <w:bCs/>
          <w:sz w:val="24"/>
          <w:szCs w:val="24"/>
        </w:rPr>
        <w:t xml:space="preserve"> </w:t>
      </w:r>
      <w:r w:rsidRPr="006957C1">
        <w:rPr>
          <w:rFonts w:asciiTheme="majorBidi" w:hAnsiTheme="majorBidi" w:cstheme="majorBidi"/>
          <w:b/>
          <w:bCs/>
          <w:sz w:val="24"/>
          <w:szCs w:val="24"/>
        </w:rPr>
        <w:t>relatif</w:t>
      </w:r>
      <w:r>
        <w:rPr>
          <w:rFonts w:asciiTheme="majorBidi" w:hAnsiTheme="majorBidi" w:cstheme="majorBidi"/>
          <w:b/>
          <w:bCs/>
          <w:sz w:val="24"/>
          <w:szCs w:val="24"/>
        </w:rPr>
        <w:t xml:space="preserve"> </w:t>
      </w:r>
      <w:r>
        <w:rPr>
          <w:rFonts w:asciiTheme="majorBidi" w:hAnsiTheme="majorBidi" w:cstheme="majorBidi"/>
          <w:sz w:val="24"/>
          <w:szCs w:val="24"/>
        </w:rPr>
        <w:t>(C.S.R. = T</w:t>
      </w:r>
      <w:r>
        <w:rPr>
          <w:rFonts w:asciiTheme="majorBidi" w:hAnsiTheme="majorBidi" w:cstheme="majorBidi"/>
          <w:sz w:val="24"/>
          <w:szCs w:val="24"/>
          <w:vertAlign w:val="subscript"/>
        </w:rPr>
        <w:t>S</w:t>
      </w:r>
      <w:r>
        <w:rPr>
          <w:rFonts w:asciiTheme="majorBidi" w:hAnsiTheme="majorBidi" w:cstheme="majorBidi"/>
          <w:sz w:val="24"/>
          <w:szCs w:val="24"/>
        </w:rPr>
        <w:t>/T</w:t>
      </w:r>
      <w:r>
        <w:rPr>
          <w:rFonts w:asciiTheme="majorBidi" w:hAnsiTheme="majorBidi" w:cstheme="majorBidi"/>
          <w:sz w:val="24"/>
          <w:szCs w:val="24"/>
          <w:vertAlign w:val="subscript"/>
        </w:rPr>
        <w:t>SS</w:t>
      </w:r>
      <w:r>
        <w:rPr>
          <w:rFonts w:asciiTheme="majorBidi" w:hAnsiTheme="majorBidi" w:cstheme="majorBidi"/>
          <w:sz w:val="24"/>
          <w:szCs w:val="24"/>
        </w:rPr>
        <w:t>)</w:t>
      </w:r>
      <w:r w:rsidR="00615C6D">
        <w:rPr>
          <w:rFonts w:asciiTheme="majorBidi" w:hAnsiTheme="majorBidi" w:cstheme="majorBidi"/>
          <w:sz w:val="24"/>
          <w:szCs w:val="24"/>
        </w:rPr>
        <w:t xml:space="preserve"> qui, pour chaque élément minéral, est égal au rapport entre la teneur de l’espèce considérée (</w:t>
      </w:r>
      <w:r w:rsidR="00615C6D">
        <w:rPr>
          <w:rFonts w:asciiTheme="majorBidi" w:hAnsiTheme="majorBidi" w:cstheme="majorBidi"/>
          <w:sz w:val="24"/>
          <w:szCs w:val="24"/>
        </w:rPr>
        <w:t>T</w:t>
      </w:r>
      <w:r w:rsidR="00615C6D">
        <w:rPr>
          <w:rFonts w:asciiTheme="majorBidi" w:hAnsiTheme="majorBidi" w:cstheme="majorBidi"/>
          <w:sz w:val="24"/>
          <w:szCs w:val="24"/>
          <w:vertAlign w:val="subscript"/>
        </w:rPr>
        <w:t>S</w:t>
      </w:r>
      <w:r w:rsidR="00615C6D">
        <w:rPr>
          <w:rFonts w:asciiTheme="majorBidi" w:hAnsiTheme="majorBidi" w:cstheme="majorBidi"/>
          <w:sz w:val="24"/>
          <w:szCs w:val="24"/>
        </w:rPr>
        <w:t xml:space="preserve">) et la teneur de toutes les espèces composant la </w:t>
      </w:r>
      <w:proofErr w:type="spellStart"/>
      <w:r w:rsidR="00615C6D">
        <w:rPr>
          <w:rFonts w:asciiTheme="majorBidi" w:hAnsiTheme="majorBidi" w:cstheme="majorBidi"/>
          <w:sz w:val="24"/>
          <w:szCs w:val="24"/>
        </w:rPr>
        <w:t>phytocénose</w:t>
      </w:r>
      <w:proofErr w:type="spellEnd"/>
      <w:r w:rsidR="00615C6D">
        <w:rPr>
          <w:rFonts w:asciiTheme="majorBidi" w:hAnsiTheme="majorBidi" w:cstheme="majorBidi"/>
          <w:sz w:val="24"/>
          <w:szCs w:val="24"/>
        </w:rPr>
        <w:t xml:space="preserve"> (</w:t>
      </w:r>
      <w:r w:rsidR="00615C6D">
        <w:rPr>
          <w:rFonts w:asciiTheme="majorBidi" w:hAnsiTheme="majorBidi" w:cstheme="majorBidi"/>
          <w:sz w:val="24"/>
          <w:szCs w:val="24"/>
        </w:rPr>
        <w:t>T</w:t>
      </w:r>
      <w:r w:rsidR="00615C6D">
        <w:rPr>
          <w:rFonts w:asciiTheme="majorBidi" w:hAnsiTheme="majorBidi" w:cstheme="majorBidi"/>
          <w:sz w:val="24"/>
          <w:szCs w:val="24"/>
          <w:vertAlign w:val="subscript"/>
        </w:rPr>
        <w:t>SS</w:t>
      </w:r>
      <w:r w:rsidR="00615C6D">
        <w:rPr>
          <w:rFonts w:asciiTheme="majorBidi" w:hAnsiTheme="majorBidi" w:cstheme="majorBidi"/>
          <w:sz w:val="24"/>
          <w:szCs w:val="24"/>
        </w:rPr>
        <w:t xml:space="preserve">). Suivant que le coefficient est inférieur égal ou supérieur à 1 on parlera d’espèce épuisante, neutre ou enrichissante pour l’association végétale. </w:t>
      </w:r>
    </w:p>
    <w:p w:rsidR="00DB174D" w:rsidRDefault="00DB174D" w:rsidP="00615C6D">
      <w:pPr>
        <w:jc w:val="both"/>
        <w:rPr>
          <w:rFonts w:asciiTheme="majorBidi" w:hAnsiTheme="majorBidi" w:cstheme="majorBidi"/>
          <w:b/>
          <w:bCs/>
          <w:sz w:val="24"/>
          <w:szCs w:val="24"/>
        </w:rPr>
      </w:pPr>
      <w:bookmarkStart w:id="0" w:name="_GoBack"/>
      <w:bookmarkEnd w:id="0"/>
      <w:r w:rsidRPr="00DB174D">
        <w:rPr>
          <w:rFonts w:asciiTheme="majorBidi" w:hAnsiTheme="majorBidi" w:cstheme="majorBidi"/>
          <w:b/>
          <w:bCs/>
          <w:sz w:val="24"/>
          <w:szCs w:val="24"/>
        </w:rPr>
        <w:t>IV. Perspectives.</w:t>
      </w:r>
    </w:p>
    <w:p w:rsidR="002B66F4" w:rsidRDefault="00DB174D" w:rsidP="002B66F4">
      <w:pPr>
        <w:jc w:val="both"/>
        <w:rPr>
          <w:rFonts w:asciiTheme="majorBidi" w:hAnsiTheme="majorBidi" w:cstheme="majorBidi"/>
          <w:sz w:val="24"/>
          <w:szCs w:val="24"/>
        </w:rPr>
      </w:pPr>
      <w:r>
        <w:rPr>
          <w:rFonts w:asciiTheme="majorBidi" w:hAnsiTheme="majorBidi" w:cstheme="majorBidi"/>
          <w:sz w:val="24"/>
          <w:szCs w:val="24"/>
        </w:rPr>
        <w:t xml:space="preserve">Depuis le virage vers l’agrochimie, et malgré </w:t>
      </w:r>
      <w:r w:rsidR="004F3CC4">
        <w:rPr>
          <w:rFonts w:asciiTheme="majorBidi" w:hAnsiTheme="majorBidi" w:cstheme="majorBidi"/>
          <w:sz w:val="24"/>
          <w:szCs w:val="24"/>
        </w:rPr>
        <w:t>les recommandations d’analyse de sol, l’application d’un excès de fertilisant constitue pour le producteur une sorte d’assurance que les besoins de sa culture soient « rencontrés ». Cette pratique d’application superflue est toutefois de moins en moins tolérable étant donné les impacts sur la compétitivité des entreprises</w:t>
      </w:r>
      <w:r w:rsidR="002B66F4">
        <w:rPr>
          <w:rFonts w:asciiTheme="majorBidi" w:hAnsiTheme="majorBidi" w:cstheme="majorBidi"/>
          <w:sz w:val="24"/>
          <w:szCs w:val="24"/>
        </w:rPr>
        <w:t>, la pollution diffuse des cours d’eau et induction de déséquilibres nutritionnels. La plante déséquilibrée par un apport immodéré de fertilisant devient plus sensible aux carences induites et aux attaques de ravageurs, ce qui contribue à alimenter le cercle vicieux des pesticides. Ainsi, la question de la nutrition minérale déborde le cadre immédiat de la simple obtention des meilleurs rendements possibles et ses implications rejoignent plusieurs aspects dont la génétique, la protection contre les ravageurs et la valeur alimentaire.</w:t>
      </w:r>
    </w:p>
    <w:p w:rsidR="007B7CD9" w:rsidRDefault="002B66F4" w:rsidP="00C4536B">
      <w:pPr>
        <w:jc w:val="both"/>
        <w:rPr>
          <w:rFonts w:asciiTheme="majorBidi" w:hAnsiTheme="majorBidi" w:cstheme="majorBidi"/>
          <w:sz w:val="24"/>
          <w:szCs w:val="24"/>
        </w:rPr>
      </w:pPr>
      <w:r>
        <w:rPr>
          <w:rFonts w:asciiTheme="majorBidi" w:hAnsiTheme="majorBidi" w:cstheme="majorBidi"/>
          <w:sz w:val="24"/>
          <w:szCs w:val="24"/>
        </w:rPr>
        <w:t>En somme, les méthodes permettant d’estimer les besoins en éléments minéraux sont variés. L’</w:t>
      </w:r>
      <w:r w:rsidR="00C4536B">
        <w:rPr>
          <w:rFonts w:asciiTheme="majorBidi" w:hAnsiTheme="majorBidi" w:cstheme="majorBidi"/>
          <w:sz w:val="24"/>
          <w:szCs w:val="24"/>
        </w:rPr>
        <w:t xml:space="preserve">expérience montre que l’agronome doit avoir recours à tous les moyens qui lui permettent de porter un diagnostic sur la fertilité du sol et donc sur les compléments d’engrais minéraux à appliquer pour assurer le rendement optimal. Il utilise parallèlement les résultats fournis par l’analyse des sols et des plantes et les observations de terrains : plantes indicatrices et examen des carences éventuelles. D’autres méthodes utiles font </w:t>
      </w:r>
      <w:r w:rsidR="00D343FB">
        <w:rPr>
          <w:rFonts w:asciiTheme="majorBidi" w:hAnsiTheme="majorBidi" w:cstheme="majorBidi"/>
          <w:sz w:val="24"/>
          <w:szCs w:val="24"/>
        </w:rPr>
        <w:t xml:space="preserve">appel au végétal telles que les indicateurs </w:t>
      </w:r>
      <w:proofErr w:type="spellStart"/>
      <w:r w:rsidR="00D343FB">
        <w:rPr>
          <w:rFonts w:asciiTheme="majorBidi" w:hAnsiTheme="majorBidi" w:cstheme="majorBidi"/>
          <w:sz w:val="24"/>
          <w:szCs w:val="24"/>
        </w:rPr>
        <w:t>phytosociologiques</w:t>
      </w:r>
      <w:proofErr w:type="spellEnd"/>
      <w:r w:rsidR="00D343FB">
        <w:rPr>
          <w:rFonts w:asciiTheme="majorBidi" w:hAnsiTheme="majorBidi" w:cstheme="majorBidi"/>
          <w:sz w:val="24"/>
          <w:szCs w:val="24"/>
        </w:rPr>
        <w:t>, les essais à long terme et la méthode des bilans.</w:t>
      </w:r>
    </w:p>
    <w:p w:rsidR="007B7CD9" w:rsidRPr="006957C1" w:rsidRDefault="007B7CD9" w:rsidP="00615C6D">
      <w:pPr>
        <w:jc w:val="both"/>
        <w:rPr>
          <w:rFonts w:asciiTheme="majorBidi" w:hAnsiTheme="majorBidi" w:cstheme="majorBidi"/>
          <w:sz w:val="24"/>
          <w:szCs w:val="24"/>
        </w:rPr>
      </w:pPr>
    </w:p>
    <w:p w:rsidR="00CE7815" w:rsidRPr="00CE7815" w:rsidRDefault="00CE7815" w:rsidP="00976DDC">
      <w:pPr>
        <w:jc w:val="both"/>
        <w:rPr>
          <w:rFonts w:asciiTheme="majorBidi" w:hAnsiTheme="majorBidi" w:cstheme="majorBidi"/>
          <w:b/>
          <w:bCs/>
          <w:sz w:val="24"/>
          <w:szCs w:val="24"/>
        </w:rPr>
      </w:pPr>
    </w:p>
    <w:p w:rsidR="002B0337" w:rsidRPr="002B0337" w:rsidRDefault="00CD5674" w:rsidP="00CD5674">
      <w:pPr>
        <w:jc w:val="both"/>
        <w:rPr>
          <w:rFonts w:asciiTheme="majorBidi" w:hAnsiTheme="majorBidi" w:cstheme="majorBidi"/>
          <w:sz w:val="24"/>
          <w:szCs w:val="24"/>
        </w:rPr>
      </w:pPr>
      <w:r>
        <w:rPr>
          <w:rFonts w:asciiTheme="majorBidi" w:hAnsiTheme="majorBidi" w:cstheme="majorBidi"/>
          <w:sz w:val="24"/>
          <w:szCs w:val="24"/>
        </w:rPr>
        <w:t xml:space="preserve">   </w:t>
      </w:r>
    </w:p>
    <w:sectPr w:rsidR="002B0337" w:rsidRPr="002B033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90A" w:rsidRDefault="0097790A" w:rsidP="00F71CCD">
      <w:pPr>
        <w:spacing w:after="0" w:line="240" w:lineRule="auto"/>
      </w:pPr>
      <w:r>
        <w:separator/>
      </w:r>
    </w:p>
  </w:endnote>
  <w:endnote w:type="continuationSeparator" w:id="0">
    <w:p w:rsidR="0097790A" w:rsidRDefault="0097790A" w:rsidP="00F71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269286"/>
      <w:docPartObj>
        <w:docPartGallery w:val="Page Numbers (Bottom of Page)"/>
        <w:docPartUnique/>
      </w:docPartObj>
    </w:sdtPr>
    <w:sdtContent>
      <w:p w:rsidR="00F71CCD" w:rsidRDefault="00F71CCD">
        <w:pPr>
          <w:pStyle w:val="Pieddepage"/>
          <w:jc w:val="center"/>
        </w:pPr>
        <w:r>
          <w:fldChar w:fldCharType="begin"/>
        </w:r>
        <w:r>
          <w:instrText>PAGE   \* MERGEFORMAT</w:instrText>
        </w:r>
        <w:r>
          <w:fldChar w:fldCharType="separate"/>
        </w:r>
        <w:r>
          <w:rPr>
            <w:noProof/>
          </w:rPr>
          <w:t>4</w:t>
        </w:r>
        <w:r>
          <w:fldChar w:fldCharType="end"/>
        </w:r>
      </w:p>
    </w:sdtContent>
  </w:sdt>
  <w:p w:rsidR="00F71CCD" w:rsidRDefault="00F71CCD" w:rsidP="00F71CCD">
    <w:pPr>
      <w:pStyle w:val="Pieddepage"/>
      <w:jc w:val="center"/>
      <w:rPr>
        <w:noProo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90A" w:rsidRDefault="0097790A" w:rsidP="00F71CCD">
      <w:pPr>
        <w:spacing w:after="0" w:line="240" w:lineRule="auto"/>
      </w:pPr>
      <w:r>
        <w:separator/>
      </w:r>
    </w:p>
  </w:footnote>
  <w:footnote w:type="continuationSeparator" w:id="0">
    <w:p w:rsidR="0097790A" w:rsidRDefault="0097790A" w:rsidP="00F71C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8C4"/>
    <w:rsid w:val="000027D6"/>
    <w:rsid w:val="00046FDC"/>
    <w:rsid w:val="00051115"/>
    <w:rsid w:val="000B542C"/>
    <w:rsid w:val="000F356C"/>
    <w:rsid w:val="00114141"/>
    <w:rsid w:val="001834FD"/>
    <w:rsid w:val="001E5981"/>
    <w:rsid w:val="002124B8"/>
    <w:rsid w:val="0024007B"/>
    <w:rsid w:val="00284662"/>
    <w:rsid w:val="002A6C84"/>
    <w:rsid w:val="002B0337"/>
    <w:rsid w:val="002B66F4"/>
    <w:rsid w:val="003108DA"/>
    <w:rsid w:val="00361124"/>
    <w:rsid w:val="004A22F5"/>
    <w:rsid w:val="004C7755"/>
    <w:rsid w:val="004F3CC4"/>
    <w:rsid w:val="00514B27"/>
    <w:rsid w:val="00566574"/>
    <w:rsid w:val="005B62CE"/>
    <w:rsid w:val="005D52DE"/>
    <w:rsid w:val="00615C6D"/>
    <w:rsid w:val="006957C1"/>
    <w:rsid w:val="006E2A4C"/>
    <w:rsid w:val="006F0DFF"/>
    <w:rsid w:val="006F2A59"/>
    <w:rsid w:val="0073144B"/>
    <w:rsid w:val="007564FC"/>
    <w:rsid w:val="007B766E"/>
    <w:rsid w:val="007B7CD9"/>
    <w:rsid w:val="007D2F19"/>
    <w:rsid w:val="008114A7"/>
    <w:rsid w:val="00824FAF"/>
    <w:rsid w:val="0084591C"/>
    <w:rsid w:val="008868C4"/>
    <w:rsid w:val="008D0C83"/>
    <w:rsid w:val="00902075"/>
    <w:rsid w:val="00926A16"/>
    <w:rsid w:val="00951E86"/>
    <w:rsid w:val="00976DDC"/>
    <w:rsid w:val="0097790A"/>
    <w:rsid w:val="009D764A"/>
    <w:rsid w:val="00A25ECF"/>
    <w:rsid w:val="00A442BA"/>
    <w:rsid w:val="00A6304D"/>
    <w:rsid w:val="00AA242B"/>
    <w:rsid w:val="00AC401C"/>
    <w:rsid w:val="00C4536B"/>
    <w:rsid w:val="00CD5674"/>
    <w:rsid w:val="00CE7815"/>
    <w:rsid w:val="00D1556B"/>
    <w:rsid w:val="00D343FB"/>
    <w:rsid w:val="00D814FD"/>
    <w:rsid w:val="00D91E29"/>
    <w:rsid w:val="00DB174D"/>
    <w:rsid w:val="00E31401"/>
    <w:rsid w:val="00F0643D"/>
    <w:rsid w:val="00F06B70"/>
    <w:rsid w:val="00F367A8"/>
    <w:rsid w:val="00F71CCD"/>
    <w:rsid w:val="00F90D8B"/>
    <w:rsid w:val="00FC783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B7EA"/>
  <w15:chartTrackingRefBased/>
  <w15:docId w15:val="{BEFE0B4C-352F-4571-9216-2016F065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71CCD"/>
    <w:pPr>
      <w:tabs>
        <w:tab w:val="center" w:pos="4536"/>
        <w:tab w:val="right" w:pos="9072"/>
      </w:tabs>
      <w:spacing w:after="0" w:line="240" w:lineRule="auto"/>
    </w:pPr>
  </w:style>
  <w:style w:type="character" w:customStyle="1" w:styleId="En-tteCar">
    <w:name w:val="En-tête Car"/>
    <w:basedOn w:val="Policepardfaut"/>
    <w:link w:val="En-tte"/>
    <w:uiPriority w:val="99"/>
    <w:rsid w:val="00F71CCD"/>
  </w:style>
  <w:style w:type="paragraph" w:styleId="Pieddepage">
    <w:name w:val="footer"/>
    <w:basedOn w:val="Normal"/>
    <w:link w:val="PieddepageCar"/>
    <w:uiPriority w:val="99"/>
    <w:unhideWhenUsed/>
    <w:rsid w:val="00F71C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1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7440</TotalTime>
  <Pages>5</Pages>
  <Words>1982</Words>
  <Characters>10906</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19</cp:revision>
  <dcterms:created xsi:type="dcterms:W3CDTF">2019-05-14T11:31:00Z</dcterms:created>
  <dcterms:modified xsi:type="dcterms:W3CDTF">2019-06-08T17:55:00Z</dcterms:modified>
</cp:coreProperties>
</file>