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r w:rsidRPr="009678F1">
        <w:rPr>
          <w:rFonts w:asciiTheme="majorBidi" w:hAnsiTheme="majorBidi" w:cstheme="majorBidi"/>
          <w:b/>
          <w:bCs/>
          <w:color w:val="000080"/>
          <w:sz w:val="28"/>
          <w:szCs w:val="28"/>
        </w:rPr>
        <w:fldChar w:fldCharType="begin"/>
      </w:r>
      <w:r w:rsidRPr="009678F1">
        <w:rPr>
          <w:rFonts w:asciiTheme="majorBidi" w:hAnsiTheme="majorBidi" w:cstheme="majorBidi"/>
          <w:b/>
          <w:bCs/>
          <w:color w:val="000080"/>
          <w:sz w:val="28"/>
          <w:szCs w:val="28"/>
        </w:rPr>
        <w:instrText xml:space="preserve"> HYPERLINK "" \l "__RefHeading___Toc4542_496013083" </w:instrText>
      </w:r>
      <w:r w:rsidRPr="009678F1">
        <w:rPr>
          <w:rFonts w:asciiTheme="majorBidi" w:hAnsiTheme="majorBidi" w:cstheme="majorBidi"/>
          <w:b/>
          <w:bCs/>
          <w:color w:val="000080"/>
          <w:sz w:val="28"/>
          <w:szCs w:val="28"/>
        </w:rPr>
        <w:fldChar w:fldCharType="separate"/>
      </w:r>
      <w:r w:rsidRPr="009678F1">
        <w:rPr>
          <w:rStyle w:val="Lienhypertexte"/>
          <w:rFonts w:asciiTheme="majorBidi" w:hAnsiTheme="majorBidi" w:cstheme="majorBidi"/>
          <w:b/>
          <w:bCs/>
          <w:sz w:val="28"/>
          <w:szCs w:val="28"/>
        </w:rPr>
        <w:t>Objectifs</w:t>
      </w:r>
      <w:r w:rsidRPr="009678F1">
        <w:rPr>
          <w:rFonts w:asciiTheme="majorBidi" w:hAnsiTheme="majorBidi" w:cstheme="majorBidi"/>
          <w:b/>
          <w:bCs/>
          <w:color w:val="000080"/>
          <w:sz w:val="28"/>
          <w:szCs w:val="28"/>
        </w:rPr>
        <w:fldChar w:fldCharType="end"/>
      </w:r>
      <w:hyperlink w:anchor="__RefHeading___Toc4542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544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Introduction</w:t>
        </w:r>
      </w:hyperlink>
      <w:hyperlink w:anchor="__RefHeading___Toc4544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546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I - Chapitre 1 : Communication Interpersonnelle</w:t>
        </w:r>
      </w:hyperlink>
      <w:hyperlink w:anchor="__RefHeading___Toc4546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57" w:line="240" w:lineRule="auto"/>
        <w:ind w:left="567"/>
        <w:rPr>
          <w:rFonts w:asciiTheme="majorBidi" w:hAnsiTheme="majorBidi" w:cstheme="majorBidi"/>
          <w:sz w:val="28"/>
          <w:szCs w:val="28"/>
        </w:rPr>
      </w:pPr>
      <w:hyperlink w:anchor="__RefHeading___Toc4548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A. </w:t>
        </w:r>
      </w:hyperlink>
      <w:hyperlink w:anchor="__RefHeading___Toc4548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>Les principes fondamentaux</w:t>
        </w:r>
      </w:hyperlink>
      <w:hyperlink w:anchor="__RefHeading___Toc4548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5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1. </w:t>
        </w:r>
      </w:hyperlink>
      <w:hyperlink w:anchor="__RefHeading___Toc455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Qu'est ce qu'une communication ?</w:t>
        </w:r>
      </w:hyperlink>
      <w:hyperlink w:anchor="__RefHeading___Toc455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  <w:r w:rsidRPr="009678F1">
        <w:rPr>
          <w:rFonts w:asciiTheme="majorBidi" w:hAnsiTheme="majorBidi" w:cstheme="majorBidi"/>
          <w:sz w:val="28"/>
          <w:szCs w:val="28"/>
        </w:rPr>
        <w:t xml:space="preserve"> </w:t>
      </w:r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5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2. </w:t>
        </w:r>
      </w:hyperlink>
      <w:hyperlink w:anchor="__RefHeading___Toc455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La communication peut être volontaire ou non</w:t>
        </w:r>
      </w:hyperlink>
      <w:hyperlink w:anchor="__RefHeading___Toc455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54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3. </w:t>
        </w:r>
      </w:hyperlink>
      <w:hyperlink w:anchor="__RefHeading___Toc4554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La communication unique et irréversible</w:t>
        </w:r>
      </w:hyperlink>
      <w:hyperlink w:anchor="__RefHeading___Toc4554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57" w:line="240" w:lineRule="auto"/>
        <w:ind w:left="567"/>
        <w:rPr>
          <w:rFonts w:asciiTheme="majorBidi" w:hAnsiTheme="majorBidi" w:cstheme="majorBidi"/>
          <w:sz w:val="28"/>
          <w:szCs w:val="28"/>
        </w:rPr>
      </w:pPr>
      <w:hyperlink w:anchor="__RefHeading___Toc4556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B. </w:t>
        </w:r>
      </w:hyperlink>
      <w:hyperlink w:anchor="__RefHeading___Toc4556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>Le dialogue constructif</w:t>
        </w:r>
      </w:hyperlink>
      <w:hyperlink w:anchor="__RefHeading___Toc4556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5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1. </w:t>
        </w:r>
      </w:hyperlink>
      <w:hyperlink w:anchor="__RefHeading___Toc455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 langage</w:t>
        </w:r>
      </w:hyperlink>
      <w:hyperlink w:anchor="__RefHeading___Toc455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6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2. </w:t>
        </w:r>
      </w:hyperlink>
      <w:hyperlink w:anchor="__RefHeading___Toc456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L'écoute active</w:t>
        </w:r>
      </w:hyperlink>
      <w:hyperlink w:anchor="__RefHeading___Toc456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6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3. </w:t>
        </w:r>
      </w:hyperlink>
      <w:hyperlink w:anchor="__RefHeading___Toc456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La reformulation et l'art des questions</w:t>
        </w:r>
      </w:hyperlink>
      <w:hyperlink w:anchor="__RefHeading___Toc456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564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II - Chapitre 2 : Communication organisationnelle</w:t>
        </w:r>
      </w:hyperlink>
      <w:hyperlink w:anchor="__RefHeading___Toc4564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57" w:line="240" w:lineRule="auto"/>
        <w:ind w:left="567"/>
        <w:rPr>
          <w:rFonts w:asciiTheme="majorBidi" w:hAnsiTheme="majorBidi" w:cstheme="majorBidi"/>
          <w:sz w:val="28"/>
          <w:szCs w:val="28"/>
        </w:rPr>
      </w:pPr>
      <w:hyperlink w:anchor="__RefHeading___Toc4566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A. </w:t>
        </w:r>
      </w:hyperlink>
      <w:hyperlink w:anchor="__RefHeading___Toc4566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>Ou se situe la communication en entreprise ?</w:t>
        </w:r>
      </w:hyperlink>
      <w:hyperlink w:anchor="__RefHeading___Toc4566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</w:t>
        </w:r>
      </w:hyperlink>
      <w:r w:rsidRPr="009678F1">
        <w:rPr>
          <w:rFonts w:asciiTheme="majorBidi" w:hAnsiTheme="majorBidi" w:cstheme="majorBidi"/>
          <w:sz w:val="28"/>
          <w:szCs w:val="28"/>
        </w:rPr>
        <w:t xml:space="preserve"> </w:t>
      </w:r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6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1. </w:t>
        </w:r>
      </w:hyperlink>
      <w:hyperlink w:anchor="__RefHeading___Toc456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Les outils de la communication</w:t>
        </w:r>
      </w:hyperlink>
      <w:hyperlink w:anchor="__RefHeading___Toc456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7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2. </w:t>
        </w:r>
      </w:hyperlink>
      <w:hyperlink w:anchor="__RefHeading___Toc457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Les composantes du discours</w:t>
        </w:r>
      </w:hyperlink>
      <w:hyperlink w:anchor="__RefHeading___Toc457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7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3. </w:t>
        </w:r>
      </w:hyperlink>
      <w:hyperlink w:anchor="__RefHeading___Toc457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Les perspectives de la communication organisationnelle</w:t>
        </w:r>
      </w:hyperlink>
      <w:hyperlink w:anchor="__RefHeading___Toc4572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57" w:line="240" w:lineRule="auto"/>
        <w:ind w:left="567"/>
        <w:rPr>
          <w:rFonts w:asciiTheme="majorBidi" w:hAnsiTheme="majorBidi" w:cstheme="majorBidi"/>
          <w:sz w:val="28"/>
          <w:szCs w:val="28"/>
        </w:rPr>
      </w:pPr>
      <w:hyperlink w:anchor="__RefHeading___Toc4574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B. </w:t>
        </w:r>
      </w:hyperlink>
      <w:hyperlink w:anchor="__RefHeading___Toc4574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Les types de </w:t>
        </w:r>
        <w:proofErr w:type="gramStart"/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>communications interne</w:t>
        </w:r>
        <w:proofErr w:type="gramEnd"/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à l'entreprise</w:t>
        </w:r>
      </w:hyperlink>
      <w:hyperlink w:anchor="__RefHeading___Toc4574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7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1. </w:t>
        </w:r>
      </w:hyperlink>
      <w:hyperlink w:anchor="__RefHeading___Toc457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Communication informelle</w:t>
        </w:r>
      </w:hyperlink>
      <w:hyperlink w:anchor="__RefHeading___Toc457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7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2. </w:t>
        </w:r>
      </w:hyperlink>
      <w:hyperlink w:anchor="__RefHeading___Toc457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Communication formelle</w:t>
        </w:r>
      </w:hyperlink>
      <w:hyperlink w:anchor="__RefHeading___Toc457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8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3. </w:t>
        </w:r>
      </w:hyperlink>
      <w:hyperlink w:anchor="__RefHeading___Toc458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Les composantes d'une communication efficace</w:t>
        </w:r>
      </w:hyperlink>
      <w:hyperlink w:anchor="__RefHeading___Toc458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582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III - Chapitre 3 : Communication de masse</w:t>
        </w:r>
      </w:hyperlink>
      <w:hyperlink w:anchor="__RefHeading___Toc4582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57" w:line="240" w:lineRule="auto"/>
        <w:ind w:left="567"/>
        <w:rPr>
          <w:rFonts w:asciiTheme="majorBidi" w:hAnsiTheme="majorBidi" w:cstheme="majorBidi"/>
          <w:sz w:val="28"/>
          <w:szCs w:val="28"/>
        </w:rPr>
      </w:pPr>
      <w:hyperlink w:anchor="__RefHeading___Toc4584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A. </w:t>
        </w:r>
      </w:hyperlink>
      <w:hyperlink w:anchor="__RefHeading___Toc4584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>Le mix communicationnel</w:t>
        </w:r>
      </w:hyperlink>
      <w:hyperlink w:anchor="__RefHeading___Toc4584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8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1. </w:t>
        </w:r>
      </w:hyperlink>
      <w:hyperlink w:anchor="__RefHeading___Toc458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 processus de communication</w:t>
        </w:r>
      </w:hyperlink>
      <w:hyperlink w:anchor="__RefHeading___Toc458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8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2. </w:t>
        </w:r>
      </w:hyperlink>
      <w:hyperlink w:anchor="__RefHeading___Toc458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L'élaboration d'une action de communication</w:t>
        </w:r>
      </w:hyperlink>
      <w:hyperlink w:anchor="__RefHeading___Toc458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9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3. </w:t>
        </w:r>
      </w:hyperlink>
      <w:hyperlink w:anchor="__RefHeading___Toc459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Les obstacles de la communication</w:t>
        </w:r>
      </w:hyperlink>
      <w:hyperlink w:anchor="__RefHeading___Toc4590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57" w:line="240" w:lineRule="auto"/>
        <w:ind w:left="567"/>
        <w:rPr>
          <w:rFonts w:asciiTheme="majorBidi" w:hAnsiTheme="majorBidi" w:cstheme="majorBidi"/>
          <w:sz w:val="28"/>
          <w:szCs w:val="28"/>
        </w:rPr>
      </w:pPr>
      <w:hyperlink w:anchor="__RefHeading___Toc4592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B. </w:t>
        </w:r>
      </w:hyperlink>
      <w:hyperlink w:anchor="__RefHeading___Toc4592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>L'impact des médias sur la communication</w:t>
        </w:r>
      </w:hyperlink>
      <w:hyperlink w:anchor="__RefHeading___Toc4592_496013083" w:history="1">
        <w:r w:rsidRPr="009678F1">
          <w:rPr>
            <w:rStyle w:val="Lienhypertexte"/>
            <w:rFonts w:asciiTheme="majorBidi" w:hAnsiTheme="majorBidi" w:cstheme="majorBidi"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94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1. </w:t>
        </w:r>
      </w:hyperlink>
      <w:hyperlink w:anchor="__RefHeading___Toc4594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les effets </w:t>
        </w:r>
        <w:proofErr w:type="gramStart"/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des masse</w:t>
        </w:r>
        <w:proofErr w:type="gramEnd"/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media</w:t>
        </w:r>
      </w:hyperlink>
      <w:hyperlink w:anchor="__RefHeading___Toc4594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sz w:val="28"/>
          <w:szCs w:val="28"/>
        </w:rPr>
      </w:pPr>
      <w:hyperlink w:anchor="__RefHeading___Toc459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2. </w:t>
        </w:r>
      </w:hyperlink>
      <w:hyperlink w:anchor="__RefHeading___Toc459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Les avantages de la communication</w:t>
        </w:r>
      </w:hyperlink>
      <w:hyperlink w:anchor="__RefHeading___Toc4596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ind w:left="1134"/>
        <w:rPr>
          <w:rFonts w:asciiTheme="majorBidi" w:hAnsiTheme="majorBidi" w:cstheme="majorBidi"/>
          <w:b/>
          <w:bCs/>
          <w:i/>
          <w:iCs/>
          <w:color w:val="666699"/>
          <w:sz w:val="28"/>
          <w:szCs w:val="28"/>
        </w:rPr>
      </w:pPr>
      <w:hyperlink w:anchor="__RefHeading___Toc459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3. </w:t>
        </w:r>
      </w:hyperlink>
      <w:hyperlink w:anchor="__RefHeading___Toc459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>La communication de groupe</w:t>
        </w:r>
      </w:hyperlink>
      <w:hyperlink w:anchor="__RefHeading___Toc4598_496013083" w:history="1">
        <w:r w:rsidRPr="009678F1">
          <w:rPr>
            <w:rStyle w:val="Lienhypertexte"/>
            <w:rFonts w:asciiTheme="majorBidi" w:hAnsiTheme="majorBidi" w:cstheme="majorBidi"/>
            <w:i/>
            <w:i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spacing w:before="0" w:beforeAutospacing="0" w:after="0" w:line="24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9678F1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9678F1">
        <w:rPr>
          <w:rFonts w:asciiTheme="majorBidi" w:hAnsiTheme="majorBidi" w:cstheme="majorBidi"/>
          <w:b/>
          <w:bCs/>
          <w:color w:val="auto"/>
          <w:sz w:val="28"/>
          <w:szCs w:val="28"/>
        </w:rPr>
        <w:t>V-</w:t>
      </w:r>
      <w:hyperlink w:anchor="__RefHeading___Toc4610_496013083" w:history="1">
        <w:r w:rsidRPr="009678F1">
          <w:rPr>
            <w:rFonts w:asciiTheme="majorBidi" w:hAnsiTheme="majorBidi" w:cstheme="majorBidi"/>
            <w:b/>
            <w:bCs/>
            <w:color w:val="auto"/>
            <w:sz w:val="28"/>
            <w:szCs w:val="28"/>
          </w:rPr>
          <w:t>Exercice d'auto évaluation</w:t>
        </w:r>
      </w:hyperlink>
      <w:hyperlink w:anchor="__RefHeading___Toc4610_496013083" w:history="1">
        <w:r w:rsidRPr="009678F1">
          <w:rPr>
            <w:rStyle w:val="Lienhypertexte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612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Conclusion</w:t>
        </w:r>
      </w:hyperlink>
      <w:hyperlink w:anchor="__RefHeading___Toc4612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614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Solution des exercices</w:t>
        </w:r>
      </w:hyperlink>
      <w:hyperlink w:anchor="__RefHeading___Toc4614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616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Glossaire</w:t>
        </w:r>
      </w:hyperlink>
      <w:hyperlink w:anchor="__RefHeading___Toc4616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618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Signification des abréviations</w:t>
        </w:r>
      </w:hyperlink>
      <w:hyperlink w:anchor="__RefHeading___Toc4618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</w:p>
    <w:p w:rsidR="009678F1" w:rsidRPr="009678F1" w:rsidRDefault="009678F1" w:rsidP="009678F1">
      <w:pPr>
        <w:pStyle w:val="NormalWeb"/>
        <w:keepNext/>
        <w:spacing w:before="0" w:beforeAutospacing="0" w:after="113" w:line="240" w:lineRule="auto"/>
        <w:rPr>
          <w:rFonts w:asciiTheme="majorBidi" w:hAnsiTheme="majorBidi" w:cstheme="majorBidi"/>
          <w:sz w:val="28"/>
          <w:szCs w:val="28"/>
        </w:rPr>
      </w:pPr>
      <w:hyperlink w:anchor="__RefHeading___Toc4620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Références</w:t>
        </w:r>
      </w:hyperlink>
      <w:hyperlink w:anchor="__RefHeading___Toc4620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 xml:space="preserve"> </w:t>
        </w:r>
      </w:hyperlink>
      <w:hyperlink w:anchor="__RefHeading___Toc4622_496013083" w:history="1">
        <w:r w:rsidRPr="009678F1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Bibliographiques</w:t>
        </w:r>
      </w:hyperlink>
    </w:p>
    <w:p w:rsidR="009678F1" w:rsidRDefault="009678F1" w:rsidP="009678F1">
      <w:pPr>
        <w:pStyle w:val="NormalWeb"/>
        <w:spacing w:before="0" w:beforeAutospacing="0" w:after="0" w:line="240" w:lineRule="auto"/>
        <w:ind w:left="1134"/>
      </w:pPr>
    </w:p>
    <w:p w:rsidR="00932530" w:rsidRDefault="00932530" w:rsidP="009678F1">
      <w:pPr>
        <w:spacing w:line="240" w:lineRule="auto"/>
      </w:pPr>
    </w:p>
    <w:sectPr w:rsidR="00932530" w:rsidSect="009325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F1" w:rsidRDefault="009678F1" w:rsidP="009678F1">
      <w:pPr>
        <w:spacing w:after="0" w:line="240" w:lineRule="auto"/>
      </w:pPr>
      <w:r>
        <w:separator/>
      </w:r>
    </w:p>
  </w:endnote>
  <w:endnote w:type="continuationSeparator" w:id="1">
    <w:p w:rsidR="009678F1" w:rsidRDefault="009678F1" w:rsidP="0096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F1" w:rsidRDefault="009678F1" w:rsidP="009678F1">
      <w:pPr>
        <w:spacing w:after="0" w:line="240" w:lineRule="auto"/>
      </w:pPr>
      <w:r>
        <w:separator/>
      </w:r>
    </w:p>
  </w:footnote>
  <w:footnote w:type="continuationSeparator" w:id="1">
    <w:p w:rsidR="009678F1" w:rsidRDefault="009678F1" w:rsidP="0096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F1" w:rsidRPr="009678F1" w:rsidRDefault="009678F1" w:rsidP="009678F1">
    <w:pPr>
      <w:pStyle w:val="En-tte"/>
      <w:jc w:val="center"/>
      <w:rPr>
        <w:rFonts w:asciiTheme="majorBidi" w:hAnsiTheme="majorBidi" w:cstheme="majorBidi"/>
        <w:b/>
        <w:bCs/>
        <w:color w:val="002060"/>
        <w:sz w:val="40"/>
        <w:szCs w:val="40"/>
      </w:rPr>
    </w:pPr>
    <w:r w:rsidRPr="009678F1">
      <w:rPr>
        <w:rFonts w:asciiTheme="majorBidi" w:hAnsiTheme="majorBidi" w:cstheme="majorBidi"/>
        <w:b/>
        <w:bCs/>
        <w:color w:val="002060"/>
        <w:sz w:val="40"/>
        <w:szCs w:val="40"/>
      </w:rPr>
      <w:t>PLAN GENERAL DU COURS COMMUNICATION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8F1"/>
    <w:rsid w:val="00932530"/>
    <w:rsid w:val="0096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78F1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678F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6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78F1"/>
  </w:style>
  <w:style w:type="paragraph" w:styleId="Pieddepage">
    <w:name w:val="footer"/>
    <w:basedOn w:val="Normal"/>
    <w:link w:val="PieddepageCar"/>
    <w:uiPriority w:val="99"/>
    <w:semiHidden/>
    <w:unhideWhenUsed/>
    <w:rsid w:val="0096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7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989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2020-06-10T19:48:00Z</dcterms:created>
  <dcterms:modified xsi:type="dcterms:W3CDTF">2020-06-10T19:56:00Z</dcterms:modified>
</cp:coreProperties>
</file>