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D7" w:rsidRDefault="002333D7" w:rsidP="002333D7">
      <w:pPr>
        <w:bidi/>
        <w:spacing w:after="0" w:line="240" w:lineRule="auto"/>
        <w:jc w:val="center"/>
        <w:rPr>
          <w:rFonts w:asciiTheme="majorBidi" w:hAnsiTheme="majorBidi" w:cstheme="majorBidi"/>
          <w:b/>
          <w:bCs/>
          <w:sz w:val="36"/>
          <w:szCs w:val="36"/>
          <w:rtl/>
        </w:rPr>
      </w:pPr>
      <w:proofErr w:type="gramStart"/>
      <w:r>
        <w:rPr>
          <w:rFonts w:asciiTheme="majorBidi" w:hAnsiTheme="majorBidi" w:cstheme="majorBidi" w:hint="cs"/>
          <w:b/>
          <w:bCs/>
          <w:sz w:val="36"/>
          <w:szCs w:val="36"/>
          <w:rtl/>
        </w:rPr>
        <w:t>الدرس</w:t>
      </w:r>
      <w:proofErr w:type="gramEnd"/>
      <w:r>
        <w:rPr>
          <w:rFonts w:asciiTheme="majorBidi" w:hAnsiTheme="majorBidi" w:cstheme="majorBidi" w:hint="cs"/>
          <w:b/>
          <w:bCs/>
          <w:sz w:val="36"/>
          <w:szCs w:val="36"/>
          <w:rtl/>
        </w:rPr>
        <w:t xml:space="preserve"> الثالث:</w:t>
      </w:r>
    </w:p>
    <w:p w:rsidR="002333D7" w:rsidRPr="00671CDB" w:rsidRDefault="002333D7" w:rsidP="002333D7">
      <w:pPr>
        <w:bidi/>
        <w:spacing w:after="0" w:line="240" w:lineRule="auto"/>
        <w:jc w:val="center"/>
        <w:rPr>
          <w:rFonts w:asciiTheme="majorBidi" w:hAnsiTheme="majorBidi" w:cstheme="majorBidi"/>
          <w:b/>
          <w:bCs/>
          <w:sz w:val="36"/>
          <w:szCs w:val="36"/>
          <w:rtl/>
        </w:rPr>
      </w:pPr>
      <w:r w:rsidRPr="00671CDB">
        <w:rPr>
          <w:rFonts w:asciiTheme="majorBidi" w:hAnsiTheme="majorBidi" w:cstheme="majorBidi"/>
          <w:b/>
          <w:bCs/>
          <w:sz w:val="36"/>
          <w:szCs w:val="36"/>
          <w:rtl/>
        </w:rPr>
        <w:t xml:space="preserve"> مصطلحات المتكلمين وتعاريفهم</w:t>
      </w:r>
    </w:p>
    <w:p w:rsidR="002333D7" w:rsidRPr="008A042B" w:rsidRDefault="002333D7" w:rsidP="002333D7">
      <w:pPr>
        <w:bidi/>
        <w:spacing w:after="0" w:line="240" w:lineRule="auto"/>
        <w:jc w:val="both"/>
        <w:rPr>
          <w:rFonts w:ascii="Traditional Arabic" w:hAnsi="Traditional Arabic" w:cs="Traditional Arabic"/>
          <w:b/>
          <w:bCs/>
          <w:sz w:val="36"/>
          <w:szCs w:val="36"/>
          <w:rtl/>
        </w:rPr>
      </w:pPr>
      <w:proofErr w:type="gramStart"/>
      <w:r w:rsidRPr="008A042B">
        <w:rPr>
          <w:rFonts w:ascii="Traditional Arabic" w:hAnsi="Traditional Arabic" w:cs="Traditional Arabic" w:hint="cs"/>
          <w:b/>
          <w:bCs/>
          <w:sz w:val="36"/>
          <w:szCs w:val="36"/>
          <w:rtl/>
        </w:rPr>
        <w:t>أهداف</w:t>
      </w:r>
      <w:proofErr w:type="gramEnd"/>
      <w:r w:rsidRPr="008A042B">
        <w:rPr>
          <w:rFonts w:ascii="Traditional Arabic" w:hAnsi="Traditional Arabic" w:cs="Traditional Arabic" w:hint="cs"/>
          <w:b/>
          <w:bCs/>
          <w:sz w:val="36"/>
          <w:szCs w:val="36"/>
          <w:rtl/>
        </w:rPr>
        <w:t xml:space="preserve"> الدرس </w:t>
      </w:r>
    </w:p>
    <w:p w:rsidR="002333D7" w:rsidRDefault="002333D7" w:rsidP="002333D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w:t>
      </w:r>
      <w:proofErr w:type="gramStart"/>
      <w:r>
        <w:rPr>
          <w:rFonts w:ascii="Traditional Arabic" w:hAnsi="Traditional Arabic" w:cs="Traditional Arabic" w:hint="cs"/>
          <w:sz w:val="36"/>
          <w:szCs w:val="36"/>
          <w:rtl/>
        </w:rPr>
        <w:t>بيان</w:t>
      </w:r>
      <w:proofErr w:type="gramEnd"/>
      <w:r>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تأثر </w:t>
      </w:r>
      <w:r w:rsidRPr="00671CDB">
        <w:rPr>
          <w:rFonts w:ascii="Traditional Arabic" w:hAnsi="Traditional Arabic" w:cs="Traditional Arabic" w:hint="cs"/>
          <w:sz w:val="36"/>
          <w:szCs w:val="36"/>
          <w:rtl/>
        </w:rPr>
        <w:t xml:space="preserve">الاصطلاحات </w:t>
      </w:r>
      <w:r>
        <w:rPr>
          <w:rFonts w:ascii="Traditional Arabic" w:hAnsi="Traditional Arabic" w:cs="Traditional Arabic"/>
          <w:sz w:val="36"/>
          <w:szCs w:val="36"/>
          <w:rtl/>
        </w:rPr>
        <w:t>الأصولية</w:t>
      </w:r>
      <w:r>
        <w:rPr>
          <w:rFonts w:ascii="Traditional Arabic" w:hAnsi="Traditional Arabic" w:cs="Traditional Arabic" w:hint="cs"/>
          <w:sz w:val="36"/>
          <w:szCs w:val="36"/>
          <w:rtl/>
        </w:rPr>
        <w:t xml:space="preserve"> في </w:t>
      </w:r>
      <w:r>
        <w:rPr>
          <w:rFonts w:ascii="Traditional Arabic" w:hAnsi="Traditional Arabic" w:cs="Traditional Arabic"/>
          <w:sz w:val="36"/>
          <w:szCs w:val="36"/>
          <w:rtl/>
        </w:rPr>
        <w:t>كثير</w:t>
      </w:r>
      <w:r>
        <w:rPr>
          <w:rFonts w:ascii="Traditional Arabic" w:hAnsi="Traditional Arabic" w:cs="Traditional Arabic" w:hint="cs"/>
          <w:sz w:val="36"/>
          <w:szCs w:val="36"/>
          <w:rtl/>
        </w:rPr>
        <w:t xml:space="preserve"> من الأحيان</w:t>
      </w:r>
      <w:r w:rsidRPr="00671CD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تخصص أصحابها حيث فرض المتكلمون كثير من اصطلاحات فنهم في علم الأصول وخالفوا الفقهاء.</w:t>
      </w:r>
    </w:p>
    <w:p w:rsidR="002333D7" w:rsidRPr="00671CDB" w:rsidRDefault="002333D7" w:rsidP="002333D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2-بين أن </w:t>
      </w:r>
      <w:proofErr w:type="spellStart"/>
      <w:r>
        <w:rPr>
          <w:rFonts w:ascii="Traditional Arabic" w:hAnsi="Traditional Arabic" w:cs="Traditional Arabic" w:hint="cs"/>
          <w:sz w:val="36"/>
          <w:szCs w:val="36"/>
          <w:rtl/>
        </w:rPr>
        <w:t>مماظهر</w:t>
      </w:r>
      <w:proofErr w:type="spellEnd"/>
      <w:r>
        <w:rPr>
          <w:rFonts w:ascii="Traditional Arabic" w:hAnsi="Traditional Arabic" w:cs="Traditional Arabic" w:hint="cs"/>
          <w:sz w:val="36"/>
          <w:szCs w:val="36"/>
          <w:rtl/>
        </w:rPr>
        <w:t xml:space="preserve"> فيه تأثير مدرسة المتكلمين التعريفات الأصولية</w:t>
      </w:r>
      <w:r w:rsidRPr="00671CD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حيث كان المتكلم يصوغ التعريف بما يتفق وتوجهه العقدي دون مراعاة لما اتفق عليه الفقهاء ودون اعتبار للانتماء المذهبي الفقهي</w:t>
      </w:r>
      <w:r w:rsidRPr="00671CDB">
        <w:rPr>
          <w:rFonts w:ascii="Traditional Arabic" w:hAnsi="Traditional Arabic" w:cs="Traditional Arabic"/>
          <w:sz w:val="36"/>
          <w:szCs w:val="36"/>
          <w:rtl/>
        </w:rPr>
        <w:t>.</w:t>
      </w:r>
    </w:p>
    <w:p w:rsidR="002333D7" w:rsidRPr="00671CDB" w:rsidRDefault="002333D7" w:rsidP="002333D7">
      <w:pPr>
        <w:bidi/>
        <w:spacing w:after="0" w:line="240" w:lineRule="auto"/>
        <w:jc w:val="center"/>
        <w:rPr>
          <w:rFonts w:asciiTheme="majorBidi" w:hAnsiTheme="majorBidi" w:cstheme="majorBidi"/>
          <w:b/>
          <w:bCs/>
          <w:sz w:val="36"/>
          <w:szCs w:val="36"/>
          <w:rtl/>
        </w:rPr>
      </w:pPr>
      <w:r w:rsidRPr="00671CDB">
        <w:rPr>
          <w:rFonts w:asciiTheme="majorBidi" w:hAnsiTheme="majorBidi" w:cstheme="majorBidi"/>
          <w:b/>
          <w:bCs/>
          <w:sz w:val="36"/>
          <w:szCs w:val="36"/>
          <w:rtl/>
        </w:rPr>
        <w:t>الم</w:t>
      </w:r>
      <w:r>
        <w:rPr>
          <w:rFonts w:asciiTheme="majorBidi" w:hAnsiTheme="majorBidi" w:cstheme="majorBidi" w:hint="cs"/>
          <w:b/>
          <w:bCs/>
          <w:sz w:val="36"/>
          <w:szCs w:val="36"/>
          <w:rtl/>
        </w:rPr>
        <w:t>طلب</w:t>
      </w:r>
      <w:r w:rsidRPr="00671CDB">
        <w:rPr>
          <w:rFonts w:asciiTheme="majorBidi" w:hAnsiTheme="majorBidi" w:cstheme="majorBidi"/>
          <w:b/>
          <w:bCs/>
          <w:sz w:val="36"/>
          <w:szCs w:val="36"/>
          <w:rtl/>
        </w:rPr>
        <w:t xml:space="preserve"> الأول : اصطلاحات المتكلمين</w:t>
      </w:r>
    </w:p>
    <w:p w:rsidR="002333D7" w:rsidRPr="00671CDB" w:rsidRDefault="002333D7" w:rsidP="002333D7">
      <w:pPr>
        <w:bidi/>
        <w:spacing w:after="0" w:line="240" w:lineRule="auto"/>
        <w:jc w:val="both"/>
        <w:rPr>
          <w:rFonts w:asciiTheme="majorBidi" w:hAnsiTheme="majorBidi" w:cstheme="majorBidi"/>
          <w:b/>
          <w:bCs/>
          <w:sz w:val="36"/>
          <w:szCs w:val="36"/>
          <w:rtl/>
        </w:rPr>
      </w:pPr>
      <w:r w:rsidRPr="00671CDB">
        <w:rPr>
          <w:rFonts w:ascii="Traditional Arabic" w:hAnsi="Traditional Arabic" w:cs="Traditional Arabic" w:hint="cs"/>
          <w:sz w:val="36"/>
          <w:szCs w:val="36"/>
          <w:rtl/>
        </w:rPr>
        <w:t xml:space="preserve">   </w:t>
      </w:r>
      <w:proofErr w:type="gramStart"/>
      <w:r w:rsidRPr="00671CDB">
        <w:rPr>
          <w:rFonts w:ascii="Traditional Arabic" w:hAnsi="Traditional Arabic" w:cs="Traditional Arabic" w:hint="cs"/>
          <w:sz w:val="36"/>
          <w:szCs w:val="36"/>
          <w:rtl/>
        </w:rPr>
        <w:t>المصطلحات</w:t>
      </w:r>
      <w:proofErr w:type="gramEnd"/>
      <w:r w:rsidRPr="00671CDB">
        <w:rPr>
          <w:rFonts w:ascii="Traditional Arabic" w:hAnsi="Traditional Arabic" w:cs="Traditional Arabic" w:hint="cs"/>
          <w:sz w:val="36"/>
          <w:szCs w:val="36"/>
          <w:rtl/>
        </w:rPr>
        <w:t xml:space="preserve"> التي انفردوا بها كثيرة نختار نماذج منها مشهورة وتمس الحاجة إلى معرفتها أكثر من غيرها.</w:t>
      </w:r>
      <w:r w:rsidRPr="00671CDB">
        <w:rPr>
          <w:rFonts w:asciiTheme="majorBidi" w:hAnsiTheme="majorBidi" w:cstheme="majorBidi"/>
          <w:b/>
          <w:bCs/>
          <w:sz w:val="36"/>
          <w:szCs w:val="36"/>
          <w:rtl/>
        </w:rPr>
        <w:t xml:space="preserve"> </w:t>
      </w:r>
    </w:p>
    <w:p w:rsidR="002333D7" w:rsidRPr="00671CDB" w:rsidRDefault="002333D7" w:rsidP="002333D7">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الفرع </w:t>
      </w:r>
      <w:proofErr w:type="gramStart"/>
      <w:r w:rsidRPr="00671CDB">
        <w:rPr>
          <w:rFonts w:asciiTheme="majorBidi" w:hAnsiTheme="majorBidi" w:cstheme="majorBidi"/>
          <w:b/>
          <w:bCs/>
          <w:sz w:val="36"/>
          <w:szCs w:val="36"/>
          <w:rtl/>
        </w:rPr>
        <w:t>الأول :</w:t>
      </w:r>
      <w:proofErr w:type="gramEnd"/>
      <w:r w:rsidRPr="00671CDB">
        <w:rPr>
          <w:rFonts w:asciiTheme="majorBidi" w:hAnsiTheme="majorBidi" w:cstheme="majorBidi"/>
          <w:b/>
          <w:bCs/>
          <w:sz w:val="36"/>
          <w:szCs w:val="36"/>
          <w:rtl/>
        </w:rPr>
        <w:t xml:space="preserve"> </w:t>
      </w:r>
      <w:r w:rsidRPr="00671CDB">
        <w:rPr>
          <w:rFonts w:asciiTheme="majorBidi" w:hAnsiTheme="majorBidi" w:cstheme="majorBidi" w:hint="cs"/>
          <w:b/>
          <w:bCs/>
          <w:sz w:val="36"/>
          <w:szCs w:val="36"/>
          <w:rtl/>
        </w:rPr>
        <w:t xml:space="preserve">التفريق بين </w:t>
      </w:r>
      <w:r w:rsidRPr="00671CDB">
        <w:rPr>
          <w:rFonts w:asciiTheme="majorBidi" w:hAnsiTheme="majorBidi" w:cstheme="majorBidi"/>
          <w:b/>
          <w:bCs/>
          <w:sz w:val="36"/>
          <w:szCs w:val="36"/>
          <w:rtl/>
        </w:rPr>
        <w:t>الدليل والأمارة</w:t>
      </w:r>
    </w:p>
    <w:p w:rsidR="002333D7" w:rsidRPr="00671CDB" w:rsidRDefault="002333D7" w:rsidP="002333D7">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يطلق الدليل عند الفقهاء وجمهور الأصوليين </w:t>
      </w:r>
      <w:r w:rsidRPr="00671CDB">
        <w:rPr>
          <w:rFonts w:ascii="Traditional Arabic" w:hAnsi="Traditional Arabic" w:cs="Traditional Arabic" w:hint="cs"/>
          <w:sz w:val="36"/>
          <w:szCs w:val="36"/>
          <w:rtl/>
        </w:rPr>
        <w:t xml:space="preserve">من أتباع الأئمة الأربعة </w:t>
      </w:r>
      <w:r w:rsidRPr="00671CDB">
        <w:rPr>
          <w:rFonts w:ascii="Traditional Arabic" w:hAnsi="Traditional Arabic" w:cs="Traditional Arabic"/>
          <w:sz w:val="36"/>
          <w:szCs w:val="36"/>
          <w:rtl/>
        </w:rPr>
        <w:t xml:space="preserve">على ما أفاد القطع أو الظن على حد سواء، </w:t>
      </w:r>
      <w:r w:rsidRPr="00671CDB">
        <w:rPr>
          <w:rFonts w:ascii="Traditional Arabic" w:hAnsi="Traditional Arabic" w:cs="Traditional Arabic" w:hint="cs"/>
          <w:sz w:val="36"/>
          <w:szCs w:val="36"/>
          <w:rtl/>
        </w:rPr>
        <w:t>منهم الشيرازي والباجي وأبو يعلى،</w:t>
      </w:r>
      <w:r>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ونقله السمرقندي عن أبي منصور </w:t>
      </w:r>
      <w:proofErr w:type="spellStart"/>
      <w:r w:rsidRPr="00671CDB">
        <w:rPr>
          <w:rFonts w:ascii="Traditional Arabic" w:hAnsi="Traditional Arabic" w:cs="Traditional Arabic"/>
          <w:sz w:val="36"/>
          <w:szCs w:val="36"/>
          <w:rtl/>
        </w:rPr>
        <w:t>الماتريدي</w:t>
      </w:r>
      <w:proofErr w:type="spellEnd"/>
      <w:r w:rsidRPr="00671CDB">
        <w:rPr>
          <w:rFonts w:ascii="Traditional Arabic" w:hAnsi="Traditional Arabic" w:cs="Traditional Arabic"/>
          <w:sz w:val="36"/>
          <w:szCs w:val="36"/>
          <w:rtl/>
        </w:rPr>
        <w:t>.</w:t>
      </w:r>
    </w:p>
    <w:p w:rsidR="002333D7" w:rsidRPr="00671CDB" w:rsidRDefault="002333D7" w:rsidP="002333D7">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وخص المتكلمون </w:t>
      </w:r>
      <w:r w:rsidRPr="00671CDB">
        <w:rPr>
          <w:rFonts w:ascii="Traditional Arabic" w:hAnsi="Traditional Arabic" w:cs="Traditional Arabic" w:hint="cs"/>
          <w:sz w:val="36"/>
          <w:szCs w:val="36"/>
          <w:rtl/>
        </w:rPr>
        <w:t xml:space="preserve">الدليل </w:t>
      </w:r>
      <w:r w:rsidRPr="00671CDB">
        <w:rPr>
          <w:rFonts w:ascii="Traditional Arabic" w:hAnsi="Traditional Arabic" w:cs="Traditional Arabic"/>
          <w:sz w:val="36"/>
          <w:szCs w:val="36"/>
          <w:rtl/>
        </w:rPr>
        <w:t>بما يوجب القطع وأطلقوا لفظ الأمارة على ما يوجب الظن، حكاه الجويني في التلخيص عن معظم المحققين</w:t>
      </w:r>
      <w:r w:rsidRPr="00671CDB">
        <w:rPr>
          <w:rFonts w:ascii="Traditional Arabic" w:hAnsi="Traditional Arabic" w:cs="Traditional Arabic" w:hint="cs"/>
          <w:sz w:val="36"/>
          <w:szCs w:val="36"/>
          <w:rtl/>
        </w:rPr>
        <w:t xml:space="preserve"> ونسبه </w:t>
      </w:r>
      <w:proofErr w:type="spellStart"/>
      <w:r w:rsidRPr="00671CDB">
        <w:rPr>
          <w:rFonts w:ascii="Traditional Arabic" w:hAnsi="Traditional Arabic" w:cs="Traditional Arabic" w:hint="cs"/>
          <w:sz w:val="36"/>
          <w:szCs w:val="36"/>
          <w:rtl/>
        </w:rPr>
        <w:t>الآمدي</w:t>
      </w:r>
      <w:proofErr w:type="spellEnd"/>
      <w:r w:rsidRPr="00671CDB">
        <w:rPr>
          <w:rFonts w:ascii="Traditional Arabic" w:hAnsi="Traditional Arabic" w:cs="Traditional Arabic" w:hint="cs"/>
          <w:sz w:val="36"/>
          <w:szCs w:val="36"/>
          <w:rtl/>
        </w:rPr>
        <w:t xml:space="preserve"> إلى الأصوليين</w:t>
      </w: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وقد رد عليهم اصطلاحهم غير واحد، ف</w:t>
      </w:r>
      <w:r w:rsidRPr="00671CDB">
        <w:rPr>
          <w:rFonts w:ascii="Traditional Arabic" w:hAnsi="Traditional Arabic" w:cs="Traditional Arabic"/>
          <w:sz w:val="36"/>
          <w:szCs w:val="36"/>
          <w:rtl/>
        </w:rPr>
        <w:t xml:space="preserve">قال الشيرازي: « وهذا غير صحيح، لأن حقيقة الدليل ما أرشدك إلى الشيء ، فقد يرشد مرة إلى العلم ومرة إلى الظن، فاستحق اسم الدليل في الحالين».    </w:t>
      </w:r>
    </w:p>
    <w:p w:rsidR="002333D7" w:rsidRPr="00671CDB" w:rsidRDefault="002333D7" w:rsidP="002333D7">
      <w:pPr>
        <w:pStyle w:val="Titre"/>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الفرع </w:t>
      </w:r>
      <w:proofErr w:type="gramStart"/>
      <w:r w:rsidRPr="00671CDB">
        <w:rPr>
          <w:rFonts w:asciiTheme="majorBidi" w:hAnsiTheme="majorBidi" w:cstheme="majorBidi"/>
          <w:b/>
          <w:bCs/>
          <w:sz w:val="36"/>
          <w:szCs w:val="36"/>
          <w:rtl/>
        </w:rPr>
        <w:t>الثاني :</w:t>
      </w:r>
      <w:proofErr w:type="gramEnd"/>
      <w:r w:rsidRPr="00671CDB">
        <w:rPr>
          <w:rFonts w:asciiTheme="majorBidi" w:hAnsiTheme="majorBidi" w:cstheme="majorBidi"/>
          <w:b/>
          <w:bCs/>
          <w:sz w:val="36"/>
          <w:szCs w:val="36"/>
          <w:rtl/>
        </w:rPr>
        <w:t xml:space="preserve"> </w:t>
      </w:r>
      <w:r w:rsidRPr="00671CDB">
        <w:rPr>
          <w:rFonts w:asciiTheme="majorBidi" w:hAnsiTheme="majorBidi" w:cstheme="majorBidi" w:hint="cs"/>
          <w:b/>
          <w:bCs/>
          <w:sz w:val="36"/>
          <w:szCs w:val="36"/>
          <w:rtl/>
        </w:rPr>
        <w:t xml:space="preserve">التفريق بين </w:t>
      </w:r>
      <w:r w:rsidRPr="00671CDB">
        <w:rPr>
          <w:rFonts w:asciiTheme="majorBidi" w:hAnsiTheme="majorBidi" w:cstheme="majorBidi"/>
          <w:b/>
          <w:bCs/>
          <w:sz w:val="36"/>
          <w:szCs w:val="36"/>
          <w:rtl/>
        </w:rPr>
        <w:t>العلم والظن</w:t>
      </w:r>
    </w:p>
    <w:p w:rsidR="002333D7" w:rsidRPr="00671CDB" w:rsidRDefault="002333D7" w:rsidP="002333D7">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w:t>
      </w:r>
      <w:proofErr w:type="gramStart"/>
      <w:r w:rsidRPr="00671CDB">
        <w:rPr>
          <w:rFonts w:ascii="Traditional Arabic" w:hAnsi="Traditional Arabic" w:cs="Traditional Arabic"/>
          <w:sz w:val="36"/>
          <w:szCs w:val="36"/>
          <w:rtl/>
        </w:rPr>
        <w:t>اصطلاح</w:t>
      </w:r>
      <w:proofErr w:type="gramEnd"/>
      <w:r w:rsidRPr="00671CDB">
        <w:rPr>
          <w:rFonts w:ascii="Traditional Arabic" w:hAnsi="Traditional Arabic" w:cs="Traditional Arabic"/>
          <w:sz w:val="36"/>
          <w:szCs w:val="36"/>
          <w:rtl/>
        </w:rPr>
        <w:t xml:space="preserve"> العلم والحق واليقين أطلقه الشافعي وغيره من الفقهاء على ما هو أعم من القطع والظن، وهو خلاف ما اصطلح عليه المتكلمون من تخصيص العلم بالأمور القطعية دون الظنية. </w:t>
      </w:r>
      <w:proofErr w:type="gramStart"/>
      <w:r w:rsidRPr="00671CDB">
        <w:rPr>
          <w:rFonts w:ascii="Traditional Arabic" w:hAnsi="Traditional Arabic" w:cs="Traditional Arabic"/>
          <w:sz w:val="36"/>
          <w:szCs w:val="36"/>
          <w:rtl/>
        </w:rPr>
        <w:t>فالأئمة</w:t>
      </w:r>
      <w:proofErr w:type="gramEnd"/>
      <w:r w:rsidRPr="00671CDB">
        <w:rPr>
          <w:rFonts w:ascii="Traditional Arabic" w:hAnsi="Traditional Arabic" w:cs="Traditional Arabic"/>
          <w:sz w:val="36"/>
          <w:szCs w:val="36"/>
          <w:rtl/>
        </w:rPr>
        <w:t xml:space="preserve"> المتقدمون قد أطلقوا أن خبر الواحد يفيد العلم كما أثر عنهم ذم الظن، فهل العلم الذي أثبتوه لخبر الواحد هو العلم الذي نفاه المتأخرون عنه؟ وهل الظن الذي ذموه هو الذي </w:t>
      </w:r>
      <w:proofErr w:type="gramStart"/>
      <w:r w:rsidRPr="00671CDB">
        <w:rPr>
          <w:rFonts w:ascii="Traditional Arabic" w:hAnsi="Traditional Arabic" w:cs="Traditional Arabic"/>
          <w:sz w:val="36"/>
          <w:szCs w:val="36"/>
          <w:rtl/>
        </w:rPr>
        <w:t>أثبته</w:t>
      </w:r>
      <w:proofErr w:type="gramEnd"/>
      <w:r w:rsidRPr="00671CDB">
        <w:rPr>
          <w:rFonts w:ascii="Traditional Arabic" w:hAnsi="Traditional Arabic" w:cs="Traditional Arabic"/>
          <w:sz w:val="36"/>
          <w:szCs w:val="36"/>
          <w:rtl/>
        </w:rPr>
        <w:t xml:space="preserve"> المتأخرون ووصفوا به الخبر المنفرد؟ </w:t>
      </w:r>
      <w:proofErr w:type="gramStart"/>
      <w:r w:rsidRPr="00671CDB">
        <w:rPr>
          <w:rFonts w:ascii="Traditional Arabic" w:hAnsi="Traditional Arabic" w:cs="Traditional Arabic"/>
          <w:sz w:val="36"/>
          <w:szCs w:val="36"/>
          <w:rtl/>
        </w:rPr>
        <w:t>الجواب</w:t>
      </w:r>
      <w:proofErr w:type="gramEnd"/>
      <w:r w:rsidRPr="00671CDB">
        <w:rPr>
          <w:rFonts w:ascii="Traditional Arabic" w:hAnsi="Traditional Arabic" w:cs="Traditional Arabic"/>
          <w:sz w:val="36"/>
          <w:szCs w:val="36"/>
          <w:rtl/>
        </w:rPr>
        <w:t xml:space="preserve"> أن هذه الاصطلاحات-تخصيص العلم بالقطع، والظن بالاعتقاد الراجح-إنما دخلت فنَّ الأصول بدخول المتكلمين فيه</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ويشهد لهذا المعنى ما نقل عن الإمام أحمد قيل </w:t>
      </w:r>
      <w:proofErr w:type="spellStart"/>
      <w:r w:rsidRPr="00671CDB">
        <w:rPr>
          <w:rFonts w:ascii="Traditional Arabic" w:hAnsi="Traditional Arabic" w:cs="Traditional Arabic"/>
          <w:sz w:val="36"/>
          <w:szCs w:val="36"/>
          <w:rtl/>
        </w:rPr>
        <w:t>له:«هاهنا</w:t>
      </w:r>
      <w:proofErr w:type="spellEnd"/>
      <w:r w:rsidRPr="00671CDB">
        <w:rPr>
          <w:rFonts w:ascii="Traditional Arabic" w:hAnsi="Traditional Arabic" w:cs="Traditional Arabic"/>
          <w:sz w:val="36"/>
          <w:szCs w:val="36"/>
          <w:rtl/>
        </w:rPr>
        <w:t xml:space="preserve"> إنسان يقول إن الخبر يوجب عملا ولا يوجب علما. </w:t>
      </w:r>
      <w:proofErr w:type="spellStart"/>
      <w:r w:rsidRPr="00671CDB">
        <w:rPr>
          <w:rFonts w:ascii="Traditional Arabic" w:hAnsi="Traditional Arabic" w:cs="Traditional Arabic"/>
          <w:sz w:val="36"/>
          <w:szCs w:val="36"/>
          <w:rtl/>
        </w:rPr>
        <w:t>فعابه</w:t>
      </w:r>
      <w:proofErr w:type="spellEnd"/>
      <w:r w:rsidRPr="00671CDB">
        <w:rPr>
          <w:rFonts w:ascii="Traditional Arabic" w:hAnsi="Traditional Arabic" w:cs="Traditional Arabic"/>
          <w:sz w:val="36"/>
          <w:szCs w:val="36"/>
          <w:rtl/>
        </w:rPr>
        <w:t xml:space="preserve"> وقال: ما أدري ما هذا».</w:t>
      </w:r>
    </w:p>
    <w:p w:rsidR="002333D7" w:rsidRPr="00671CDB" w:rsidRDefault="002333D7" w:rsidP="002333D7">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الفرع </w:t>
      </w:r>
      <w:proofErr w:type="gramStart"/>
      <w:r w:rsidRPr="00671CDB">
        <w:rPr>
          <w:rFonts w:asciiTheme="majorBidi" w:hAnsiTheme="majorBidi" w:cstheme="majorBidi"/>
          <w:b/>
          <w:bCs/>
          <w:sz w:val="36"/>
          <w:szCs w:val="36"/>
          <w:rtl/>
        </w:rPr>
        <w:t>الثالث :</w:t>
      </w:r>
      <w:proofErr w:type="gramEnd"/>
      <w:r w:rsidRPr="00671CDB">
        <w:rPr>
          <w:rFonts w:asciiTheme="majorBidi" w:hAnsiTheme="majorBidi" w:cstheme="majorBidi"/>
          <w:b/>
          <w:bCs/>
          <w:sz w:val="36"/>
          <w:szCs w:val="36"/>
          <w:rtl/>
        </w:rPr>
        <w:t xml:space="preserve"> </w:t>
      </w:r>
      <w:r w:rsidRPr="00671CDB">
        <w:rPr>
          <w:rFonts w:asciiTheme="majorBidi" w:hAnsiTheme="majorBidi" w:cstheme="majorBidi" w:hint="cs"/>
          <w:b/>
          <w:bCs/>
          <w:sz w:val="36"/>
          <w:szCs w:val="36"/>
          <w:rtl/>
        </w:rPr>
        <w:t xml:space="preserve">مفهوم </w:t>
      </w:r>
      <w:r w:rsidRPr="00671CDB">
        <w:rPr>
          <w:rFonts w:asciiTheme="majorBidi" w:hAnsiTheme="majorBidi" w:cstheme="majorBidi"/>
          <w:b/>
          <w:bCs/>
          <w:sz w:val="36"/>
          <w:szCs w:val="36"/>
          <w:rtl/>
        </w:rPr>
        <w:t>الصحة والفساد</w:t>
      </w:r>
    </w:p>
    <w:p w:rsidR="002333D7" w:rsidRPr="00671CDB" w:rsidRDefault="002333D7" w:rsidP="002333D7">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lastRenderedPageBreak/>
        <w:t xml:space="preserve">    </w:t>
      </w:r>
      <w:r w:rsidRPr="00671CDB">
        <w:rPr>
          <w:rFonts w:ascii="Traditional Arabic" w:hAnsi="Traditional Arabic" w:cs="Traditional Arabic"/>
          <w:sz w:val="36"/>
          <w:szCs w:val="36"/>
          <w:rtl/>
        </w:rPr>
        <w:t xml:space="preserve">الصحيح عند الفقهاء هو ما أجزأ وأسقط القضاء، وعند المتكلمين هو ما وافق الشرع وجب القضاء أو لم يجب، ومن فروع الخلاف أن صلاة من ظن أنه متطهر صحيحة في اصطلاح المتكلمين، لأنه وافق الأمر المتوجه عليه في الحال، وأما القضاء فوجوبه بأمر مجدد، وهذه الصلاة فاسدة عند الفقهاء لأنها غير مجزئة، وكذلك من قطع صلاته لإنقاذ غريق فصلاته صحيحة عند المتكلمين فاسدة عند الفقهاء، </w:t>
      </w:r>
      <w:r w:rsidRPr="00671CDB">
        <w:rPr>
          <w:rFonts w:ascii="Traditional Arabic" w:hAnsi="Traditional Arabic" w:cs="Traditional Arabic" w:hint="cs"/>
          <w:sz w:val="36"/>
          <w:szCs w:val="36"/>
          <w:rtl/>
        </w:rPr>
        <w:t>وزعم</w:t>
      </w:r>
      <w:r w:rsidRPr="00671CDB">
        <w:rPr>
          <w:rFonts w:ascii="Traditional Arabic" w:hAnsi="Traditional Arabic" w:cs="Traditional Arabic"/>
          <w:sz w:val="36"/>
          <w:szCs w:val="36"/>
          <w:rtl/>
        </w:rPr>
        <w:t xml:space="preserve"> الباقلاني والغزالي</w:t>
      </w:r>
      <w:r w:rsidRPr="00671CDB">
        <w:rPr>
          <w:rFonts w:ascii="Traditional Arabic" w:hAnsi="Traditional Arabic" w:cs="Traditional Arabic" w:hint="cs"/>
          <w:sz w:val="36"/>
          <w:szCs w:val="36"/>
          <w:rtl/>
        </w:rPr>
        <w:t xml:space="preserve"> أنه لا مشاحة في هذه الاصطلاحات لأن</w:t>
      </w:r>
      <w:r w:rsidRPr="00671CDB">
        <w:rPr>
          <w:rFonts w:ascii="Traditional Arabic" w:hAnsi="Traditional Arabic" w:cs="Traditional Arabic"/>
          <w:sz w:val="36"/>
          <w:szCs w:val="36"/>
          <w:rtl/>
        </w:rPr>
        <w:t xml:space="preserve"> المعنى متفق عليه. </w:t>
      </w:r>
      <w:proofErr w:type="gramStart"/>
      <w:r w:rsidRPr="00671CDB">
        <w:rPr>
          <w:rFonts w:ascii="Traditional Arabic" w:hAnsi="Traditional Arabic" w:cs="Traditional Arabic"/>
          <w:sz w:val="36"/>
          <w:szCs w:val="36"/>
          <w:rtl/>
        </w:rPr>
        <w:t>لأن</w:t>
      </w:r>
      <w:proofErr w:type="gramEnd"/>
      <w:r w:rsidRPr="00671CDB">
        <w:rPr>
          <w:rFonts w:ascii="Traditional Arabic" w:hAnsi="Traditional Arabic" w:cs="Traditional Arabic"/>
          <w:sz w:val="36"/>
          <w:szCs w:val="36"/>
          <w:rtl/>
        </w:rPr>
        <w:t xml:space="preserve"> الفريقان </w:t>
      </w:r>
      <w:r w:rsidRPr="00671CDB">
        <w:rPr>
          <w:rFonts w:ascii="Traditional Arabic" w:hAnsi="Traditional Arabic" w:cs="Traditional Arabic" w:hint="cs"/>
          <w:sz w:val="36"/>
          <w:szCs w:val="36"/>
          <w:rtl/>
        </w:rPr>
        <w:t xml:space="preserve">متفقان </w:t>
      </w:r>
      <w:r w:rsidRPr="00671CDB">
        <w:rPr>
          <w:rFonts w:ascii="Traditional Arabic" w:hAnsi="Traditional Arabic" w:cs="Traditional Arabic"/>
          <w:sz w:val="36"/>
          <w:szCs w:val="36"/>
          <w:rtl/>
        </w:rPr>
        <w:t xml:space="preserve">على جميع الأحكام، فاتفقوا على أنه موافق لأمر الله وأنه مثاب، وأنه لا يجب عليه القضاء إذا لم يطلع على الحدث وأنه يجب عليه القضاء إذا اطلع. ومع ذلك ينبغي السير </w:t>
      </w:r>
      <w:proofErr w:type="gramStart"/>
      <w:r w:rsidRPr="00671CDB">
        <w:rPr>
          <w:rFonts w:ascii="Traditional Arabic" w:hAnsi="Traditional Arabic" w:cs="Traditional Arabic"/>
          <w:sz w:val="36"/>
          <w:szCs w:val="36"/>
          <w:rtl/>
        </w:rPr>
        <w:t>على</w:t>
      </w:r>
      <w:proofErr w:type="gramEnd"/>
      <w:r w:rsidRPr="00671CDB">
        <w:rPr>
          <w:rFonts w:ascii="Traditional Arabic" w:hAnsi="Traditional Arabic" w:cs="Traditional Arabic"/>
          <w:sz w:val="36"/>
          <w:szCs w:val="36"/>
          <w:rtl/>
        </w:rPr>
        <w:t xml:space="preserve"> ما جرى عليه الفقهاء.</w:t>
      </w:r>
    </w:p>
    <w:p w:rsidR="002333D7" w:rsidRPr="00671CDB" w:rsidRDefault="002333D7" w:rsidP="002333D7">
      <w:pPr>
        <w:pStyle w:val="Titre2"/>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الفرع </w:t>
      </w:r>
      <w:proofErr w:type="gramStart"/>
      <w:r w:rsidRPr="00671CDB">
        <w:rPr>
          <w:rFonts w:asciiTheme="majorBidi" w:hAnsiTheme="majorBidi" w:cstheme="majorBidi"/>
          <w:b/>
          <w:bCs/>
          <w:sz w:val="36"/>
          <w:szCs w:val="36"/>
          <w:rtl/>
        </w:rPr>
        <w:t>الرابع :</w:t>
      </w:r>
      <w:proofErr w:type="gramEnd"/>
      <w:r w:rsidRPr="00671CDB">
        <w:rPr>
          <w:rFonts w:asciiTheme="majorBidi" w:hAnsiTheme="majorBidi" w:cstheme="majorBidi"/>
          <w:b/>
          <w:bCs/>
          <w:sz w:val="36"/>
          <w:szCs w:val="36"/>
          <w:rtl/>
        </w:rPr>
        <w:t xml:space="preserve"> </w:t>
      </w:r>
      <w:r w:rsidRPr="00671CDB">
        <w:rPr>
          <w:rFonts w:asciiTheme="majorBidi" w:hAnsiTheme="majorBidi" w:cstheme="majorBidi" w:hint="cs"/>
          <w:b/>
          <w:bCs/>
          <w:sz w:val="36"/>
          <w:szCs w:val="36"/>
          <w:rtl/>
        </w:rPr>
        <w:t xml:space="preserve">مفهوم </w:t>
      </w:r>
      <w:r w:rsidRPr="00671CDB">
        <w:rPr>
          <w:rFonts w:asciiTheme="majorBidi" w:hAnsiTheme="majorBidi" w:cstheme="majorBidi"/>
          <w:b/>
          <w:bCs/>
          <w:sz w:val="36"/>
          <w:szCs w:val="36"/>
          <w:rtl/>
        </w:rPr>
        <w:t xml:space="preserve">الأصل في القياس </w:t>
      </w:r>
    </w:p>
    <w:p w:rsidR="002333D7" w:rsidRDefault="002333D7" w:rsidP="002333D7">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الأصل في باب القياس هو المقيس عليه، وهو في عرف الفقهاء المسألة التي ورد في بيان حكمها نص أو إجماع، وخالفهم المتكلمون فقالوا الأصل هو النص الذي ورد به الحكم لا المحل الذي انطبق عليه الحكم، فيقولون الأصل آية تحريم الخمر وليس هو الخمر، لأن الأصل ما يبنى عليه غيره، وقد سلك المتكلمون المتأخرون مسلك الترجيح في هذا، فأما </w:t>
      </w:r>
      <w:proofErr w:type="spellStart"/>
      <w:r w:rsidRPr="00671CDB">
        <w:rPr>
          <w:rFonts w:ascii="Traditional Arabic" w:hAnsi="Traditional Arabic" w:cs="Traditional Arabic"/>
          <w:sz w:val="36"/>
          <w:szCs w:val="36"/>
          <w:rtl/>
        </w:rPr>
        <w:t>الآمدي</w:t>
      </w:r>
      <w:proofErr w:type="spellEnd"/>
      <w:r w:rsidRPr="00671CDB">
        <w:rPr>
          <w:rFonts w:ascii="Traditional Arabic" w:hAnsi="Traditional Arabic" w:cs="Traditional Arabic"/>
          <w:sz w:val="36"/>
          <w:szCs w:val="36"/>
          <w:rtl/>
        </w:rPr>
        <w:t xml:space="preserve"> فقال:« والأشبه أن يكون الأصل هو المحل على ما قاله الفقهاء».</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وفي مثل هذه المسائل ينبغي المشي على اصطلاح الفقهاء، لأن الميدان ميدانهم والفقه صناعتهم، قال ابن السبكي :« ما ذهب إليه الأكثرون من أن الأصل محل الحكم المشبه به، والفرع المحل المشبه، وهو رأي الفقهاء النظار، فإن القياس إلى الفقهاء مرجعه، فساعدهم الأصوليون فيه على مصطلحهم، وجروا في الباب على مقتضاه، فلا يطلقون الأصل والفرع إلا على ما يطلقه عليه الفقهاء لئلا يختبط الذهن بين الاصطلاحات فاحفظ ذلك». </w:t>
      </w:r>
    </w:p>
    <w:p w:rsidR="002333D7" w:rsidRPr="00671CDB" w:rsidRDefault="002333D7" w:rsidP="002333D7">
      <w:pPr>
        <w:bidi/>
        <w:spacing w:after="0" w:line="240" w:lineRule="auto"/>
        <w:jc w:val="center"/>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المطلب </w:t>
      </w:r>
      <w:proofErr w:type="gramStart"/>
      <w:r w:rsidRPr="00671CDB">
        <w:rPr>
          <w:rFonts w:asciiTheme="majorBidi" w:hAnsiTheme="majorBidi" w:cstheme="majorBidi"/>
          <w:b/>
          <w:bCs/>
          <w:sz w:val="36"/>
          <w:szCs w:val="36"/>
          <w:rtl/>
        </w:rPr>
        <w:t>ال</w:t>
      </w:r>
      <w:r w:rsidRPr="00671CDB">
        <w:rPr>
          <w:rFonts w:asciiTheme="majorBidi" w:hAnsiTheme="majorBidi" w:cstheme="majorBidi" w:hint="cs"/>
          <w:b/>
          <w:bCs/>
          <w:sz w:val="36"/>
          <w:szCs w:val="36"/>
          <w:rtl/>
        </w:rPr>
        <w:t>ثاني</w:t>
      </w:r>
      <w:r w:rsidRPr="00671CDB">
        <w:rPr>
          <w:rFonts w:asciiTheme="majorBidi" w:hAnsiTheme="majorBidi" w:cstheme="majorBidi"/>
          <w:b/>
          <w:bCs/>
          <w:sz w:val="36"/>
          <w:szCs w:val="36"/>
          <w:rtl/>
        </w:rPr>
        <w:t xml:space="preserve"> :</w:t>
      </w:r>
      <w:proofErr w:type="gramEnd"/>
      <w:r w:rsidRPr="00671CDB">
        <w:rPr>
          <w:rFonts w:asciiTheme="majorBidi" w:hAnsiTheme="majorBidi" w:cstheme="majorBidi"/>
          <w:b/>
          <w:bCs/>
          <w:sz w:val="36"/>
          <w:szCs w:val="36"/>
          <w:rtl/>
        </w:rPr>
        <w:t xml:space="preserve"> </w:t>
      </w:r>
      <w:r w:rsidRPr="00671CDB">
        <w:rPr>
          <w:rFonts w:asciiTheme="majorBidi" w:hAnsiTheme="majorBidi" w:cstheme="majorBidi" w:hint="cs"/>
          <w:b/>
          <w:bCs/>
          <w:sz w:val="36"/>
          <w:szCs w:val="36"/>
          <w:rtl/>
        </w:rPr>
        <w:t>تعريف</w:t>
      </w:r>
      <w:r w:rsidRPr="00671CDB">
        <w:rPr>
          <w:rFonts w:asciiTheme="majorBidi" w:hAnsiTheme="majorBidi" w:cstheme="majorBidi"/>
          <w:b/>
          <w:bCs/>
          <w:sz w:val="36"/>
          <w:szCs w:val="36"/>
          <w:rtl/>
        </w:rPr>
        <w:t>ات المتكلمين</w:t>
      </w:r>
    </w:p>
    <w:p w:rsidR="002333D7" w:rsidRPr="00671CDB" w:rsidRDefault="002333D7" w:rsidP="002333D7">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w:t>
      </w:r>
      <w:proofErr w:type="gramStart"/>
      <w:r w:rsidRPr="00671CDB">
        <w:rPr>
          <w:rFonts w:ascii="Traditional Arabic" w:hAnsi="Traditional Arabic" w:cs="Traditional Arabic" w:hint="cs"/>
          <w:sz w:val="36"/>
          <w:szCs w:val="36"/>
          <w:rtl/>
        </w:rPr>
        <w:t>فيما</w:t>
      </w:r>
      <w:proofErr w:type="gramEnd"/>
      <w:r w:rsidRPr="00671CDB">
        <w:rPr>
          <w:rFonts w:ascii="Traditional Arabic" w:hAnsi="Traditional Arabic" w:cs="Traditional Arabic" w:hint="cs"/>
          <w:sz w:val="36"/>
          <w:szCs w:val="36"/>
          <w:rtl/>
        </w:rPr>
        <w:t xml:space="preserve"> يأتي نماذج يظهر فيها أيضا الاختلاف في التعريف بناء على الاختلاف في المسائل الكلامية وعقيدة صاحب التعريف.</w:t>
      </w:r>
    </w:p>
    <w:p w:rsidR="002333D7" w:rsidRPr="00671CDB" w:rsidRDefault="002333D7" w:rsidP="002333D7">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الفرع </w:t>
      </w:r>
      <w:proofErr w:type="gramStart"/>
      <w:r w:rsidRPr="00671CDB">
        <w:rPr>
          <w:rFonts w:asciiTheme="majorBidi" w:hAnsiTheme="majorBidi" w:cstheme="majorBidi"/>
          <w:b/>
          <w:bCs/>
          <w:sz w:val="36"/>
          <w:szCs w:val="36"/>
          <w:rtl/>
        </w:rPr>
        <w:t>الأول :</w:t>
      </w:r>
      <w:proofErr w:type="gramEnd"/>
      <w:r w:rsidRPr="00671CDB">
        <w:rPr>
          <w:rFonts w:asciiTheme="majorBidi" w:hAnsiTheme="majorBidi" w:cstheme="majorBidi"/>
          <w:b/>
          <w:bCs/>
          <w:sz w:val="36"/>
          <w:szCs w:val="36"/>
          <w:rtl/>
        </w:rPr>
        <w:t xml:space="preserve"> تعريف الكلام </w:t>
      </w:r>
    </w:p>
    <w:p w:rsidR="002333D7" w:rsidRPr="00671CDB" w:rsidRDefault="002333D7" w:rsidP="002333D7">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اختلف الأصوليون في تعريف الكلام تبعا لاختلافهم في إطلاق صفة الكلام على الباري سبحانه، فمنهم من قال إنه اسم للفظ الدال على المعنى وهو قول المعتزلة، ومنهم من قال إنه اسم للمعنى المدلول عليه باللفظ وهو قول الأشعرية، ومنهم من قال هو اسم لكل منهما بطريق الاشتراك وهو قول الجويني، وقال السلف وجمهور الفقهاء إنه اسم </w:t>
      </w:r>
      <w:r w:rsidRPr="00671CDB">
        <w:rPr>
          <w:rFonts w:ascii="Traditional Arabic" w:hAnsi="Traditional Arabic" w:cs="Traditional Arabic" w:hint="cs"/>
          <w:sz w:val="36"/>
          <w:szCs w:val="36"/>
          <w:rtl/>
        </w:rPr>
        <w:t xml:space="preserve">للفظ والمعنى </w:t>
      </w:r>
      <w:r w:rsidRPr="00671CDB">
        <w:rPr>
          <w:rFonts w:ascii="Traditional Arabic" w:hAnsi="Traditional Arabic" w:cs="Traditional Arabic"/>
          <w:sz w:val="36"/>
          <w:szCs w:val="36"/>
          <w:rtl/>
        </w:rPr>
        <w:t>بطريق العموم.</w:t>
      </w:r>
      <w:r w:rsidRPr="00671CDB">
        <w:rPr>
          <w:rFonts w:ascii="Traditional Arabic" w:hAnsi="Traditional Arabic" w:cs="Traditional Arabic" w:hint="cs"/>
          <w:sz w:val="36"/>
          <w:szCs w:val="36"/>
          <w:rtl/>
        </w:rPr>
        <w:t xml:space="preserve"> و</w:t>
      </w:r>
      <w:r w:rsidRPr="00671CDB">
        <w:rPr>
          <w:rFonts w:ascii="Traditional Arabic" w:hAnsi="Traditional Arabic" w:cs="Traditional Arabic"/>
          <w:sz w:val="36"/>
          <w:szCs w:val="36"/>
          <w:rtl/>
        </w:rPr>
        <w:t xml:space="preserve">قال </w:t>
      </w:r>
      <w:proofErr w:type="spellStart"/>
      <w:r w:rsidRPr="00671CDB">
        <w:rPr>
          <w:rFonts w:ascii="Traditional Arabic" w:hAnsi="Traditional Arabic" w:cs="Traditional Arabic"/>
          <w:sz w:val="36"/>
          <w:szCs w:val="36"/>
          <w:rtl/>
        </w:rPr>
        <w:t>البزدوي</w:t>
      </w:r>
      <w:proofErr w:type="spellEnd"/>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lastRenderedPageBreak/>
        <w:t xml:space="preserve">الحنفي </w:t>
      </w:r>
      <w:r w:rsidRPr="00671CDB">
        <w:rPr>
          <w:rFonts w:ascii="Traditional Arabic" w:hAnsi="Traditional Arabic" w:cs="Traditional Arabic"/>
          <w:sz w:val="36"/>
          <w:szCs w:val="36"/>
          <w:rtl/>
        </w:rPr>
        <w:t>عن القرآن: «وهو النظم والمعنى جميعا في قول عامة العلماء».</w:t>
      </w:r>
      <w:r w:rsidRPr="00671CDB">
        <w:rPr>
          <w:rFonts w:ascii="Traditional Arabic" w:hAnsi="Traditional Arabic" w:cs="Traditional Arabic" w:hint="cs"/>
          <w:sz w:val="36"/>
          <w:szCs w:val="36"/>
          <w:rtl/>
        </w:rPr>
        <w:t xml:space="preserve"> وتخصيص الأشاعرة للكلام بالمعنى المدلول يقتضي نفيه عن الصيغة المكتوبة والمسموعة، ولذلك </w:t>
      </w:r>
      <w:r w:rsidRPr="00671CDB">
        <w:rPr>
          <w:rFonts w:ascii="Traditional Arabic" w:hAnsi="Traditional Arabic" w:cs="Traditional Arabic"/>
          <w:sz w:val="36"/>
          <w:szCs w:val="36"/>
          <w:rtl/>
        </w:rPr>
        <w:t xml:space="preserve">تجد </w:t>
      </w:r>
      <w:r w:rsidRPr="00671CDB">
        <w:rPr>
          <w:rFonts w:ascii="Traditional Arabic" w:hAnsi="Traditional Arabic" w:cs="Traditional Arabic" w:hint="cs"/>
          <w:sz w:val="36"/>
          <w:szCs w:val="36"/>
          <w:rtl/>
        </w:rPr>
        <w:t>منهم يؤكد في هذا المقام أن الكلام هو</w:t>
      </w:r>
      <w:r w:rsidRPr="00671CDB">
        <w:rPr>
          <w:rFonts w:ascii="Traditional Arabic" w:hAnsi="Traditional Arabic" w:cs="Traditional Arabic"/>
          <w:sz w:val="36"/>
          <w:szCs w:val="36"/>
          <w:rtl/>
        </w:rPr>
        <w:t xml:space="preserve"> الكلام النفسي القائم بالذات</w:t>
      </w:r>
      <w:r w:rsidRPr="00671CDB">
        <w:rPr>
          <w:rFonts w:ascii="Traditional Arabic" w:hAnsi="Traditional Arabic" w:cs="Traditional Arabic" w:hint="cs"/>
          <w:sz w:val="36"/>
          <w:szCs w:val="36"/>
          <w:rtl/>
        </w:rPr>
        <w:t>.</w:t>
      </w:r>
    </w:p>
    <w:p w:rsidR="002333D7" w:rsidRPr="00671CDB" w:rsidRDefault="002333D7" w:rsidP="002333D7">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الفرع الثاني : تعريف الأمر </w:t>
      </w:r>
    </w:p>
    <w:p w:rsidR="002333D7" w:rsidRPr="00671CDB" w:rsidRDefault="002333D7" w:rsidP="002333D7">
      <w:pPr>
        <w:bidi/>
        <w:spacing w:after="0" w:line="240" w:lineRule="auto"/>
        <w:jc w:val="lowKashida"/>
        <w:rPr>
          <w:rFonts w:cs="Traditional Arabic"/>
          <w:sz w:val="36"/>
          <w:szCs w:val="36"/>
          <w:rtl/>
        </w:rPr>
      </w:pP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و</w:t>
      </w:r>
      <w:r w:rsidRPr="00671CDB">
        <w:rPr>
          <w:rFonts w:ascii="Traditional Arabic" w:hAnsi="Traditional Arabic" w:cs="Traditional Arabic"/>
          <w:sz w:val="36"/>
          <w:szCs w:val="36"/>
          <w:rtl/>
        </w:rPr>
        <w:t xml:space="preserve">الخلاف </w:t>
      </w:r>
      <w:r w:rsidRPr="00671CDB">
        <w:rPr>
          <w:rFonts w:ascii="Traditional Arabic" w:hAnsi="Traditional Arabic" w:cs="Traditional Arabic" w:hint="cs"/>
          <w:sz w:val="36"/>
          <w:szCs w:val="36"/>
          <w:rtl/>
        </w:rPr>
        <w:t xml:space="preserve">في تعريف الكلام </w:t>
      </w:r>
      <w:r w:rsidRPr="00671CDB">
        <w:rPr>
          <w:rFonts w:ascii="Traditional Arabic" w:hAnsi="Traditional Arabic" w:cs="Traditional Arabic"/>
          <w:sz w:val="36"/>
          <w:szCs w:val="36"/>
          <w:rtl/>
        </w:rPr>
        <w:t>ينسحب على مسائل أخرى أصولية كالأمر والنهي وغيره من عوارض الكلام كالعام والخاص،</w:t>
      </w:r>
      <w:r w:rsidRPr="00671CDB">
        <w:rPr>
          <w:rFonts w:cs="Traditional Arabic" w:hint="cs"/>
          <w:sz w:val="36"/>
          <w:szCs w:val="36"/>
          <w:rtl/>
        </w:rPr>
        <w:t xml:space="preserve"> </w:t>
      </w:r>
      <w:r w:rsidRPr="00671CDB">
        <w:rPr>
          <w:rFonts w:ascii="Traditional Arabic" w:hAnsi="Traditional Arabic" w:cs="Traditional Arabic"/>
          <w:sz w:val="36"/>
          <w:szCs w:val="36"/>
          <w:rtl/>
        </w:rPr>
        <w:t>قال الجويني:« فإذا أطلق الأمر في أبوابه فاعلم أننا نعني به المعنى القائم بالنفس دون الأصوات وضروب العبارات»</w:t>
      </w:r>
      <w:r w:rsidRPr="00671CDB">
        <w:rPr>
          <w:rFonts w:cs="Traditional Arabic" w:hint="cs"/>
          <w:sz w:val="36"/>
          <w:szCs w:val="36"/>
          <w:vertAlign w:val="superscript"/>
          <w:rtl/>
        </w:rPr>
        <w:t xml:space="preserve"> </w:t>
      </w:r>
      <w:r w:rsidRPr="00671CDB">
        <w:rPr>
          <w:rFonts w:cs="Traditional Arabic" w:hint="cs"/>
          <w:sz w:val="36"/>
          <w:szCs w:val="36"/>
          <w:rtl/>
        </w:rPr>
        <w:t>، وفي التعريف قد لا يعرِّج الأشاعرة على الألفاظ والصيغ بتاتا لنفيهم لها وربما احترزوا عنها، ومن ذلك قول الجويني بأن الأمر:« هو المقتضي بنفسه طاعة المأمور»، ثم قال: «</w:t>
      </w:r>
      <w:proofErr w:type="spellStart"/>
      <w:r w:rsidRPr="00671CDB">
        <w:rPr>
          <w:rFonts w:cs="Traditional Arabic" w:hint="cs"/>
          <w:sz w:val="36"/>
          <w:szCs w:val="36"/>
          <w:rtl/>
        </w:rPr>
        <w:t>وقولنا:"بنفسه</w:t>
      </w:r>
      <w:proofErr w:type="spellEnd"/>
      <w:r w:rsidRPr="00671CDB">
        <w:rPr>
          <w:rFonts w:cs="Traditional Arabic" w:hint="cs"/>
          <w:sz w:val="36"/>
          <w:szCs w:val="36"/>
          <w:rtl/>
        </w:rPr>
        <w:t>" يقطع وهْم من يحمل الأمر على العبارة (أي الصيغ الدالة عليه)، فإنها لا تقتضي بنفسها، بل إنما يشعر معناها بواسطة الاصطلاح أو توقيف عليها». ولما خالف الغزالي شيخه وحذف كلمة "</w:t>
      </w:r>
      <w:proofErr w:type="spellStart"/>
      <w:r w:rsidRPr="00671CDB">
        <w:rPr>
          <w:rFonts w:cs="Traditional Arabic" w:hint="cs"/>
          <w:sz w:val="36"/>
          <w:szCs w:val="36"/>
          <w:rtl/>
        </w:rPr>
        <w:t>بنفسه"من</w:t>
      </w:r>
      <w:proofErr w:type="spellEnd"/>
      <w:r w:rsidRPr="00671CDB">
        <w:rPr>
          <w:rFonts w:cs="Traditional Arabic" w:hint="cs"/>
          <w:sz w:val="36"/>
          <w:szCs w:val="36"/>
          <w:rtl/>
        </w:rPr>
        <w:t xml:space="preserve"> التعريف صار شاملا لقول مثبتي الكلام النفسي </w:t>
      </w:r>
      <w:proofErr w:type="spellStart"/>
      <w:r w:rsidRPr="00671CDB">
        <w:rPr>
          <w:rFonts w:cs="Traditional Arabic" w:hint="cs"/>
          <w:sz w:val="36"/>
          <w:szCs w:val="36"/>
          <w:rtl/>
        </w:rPr>
        <w:t>ونفاته</w:t>
      </w:r>
      <w:proofErr w:type="spellEnd"/>
      <w:r w:rsidRPr="00671CDB">
        <w:rPr>
          <w:rFonts w:cs="Traditional Arabic" w:hint="cs"/>
          <w:sz w:val="36"/>
          <w:szCs w:val="36"/>
          <w:rtl/>
        </w:rPr>
        <w:t>، لذلك قال بعد ذلك إن الناس في معنى "القول المقتضي طاعة المأمور" فريقان، أحدهما فريق المثبتين لكلام النفس، والثاني فريق المنكرين لكلام النفس.</w:t>
      </w:r>
    </w:p>
    <w:p w:rsidR="002333D7" w:rsidRPr="00671CDB" w:rsidRDefault="002333D7" w:rsidP="002333D7">
      <w:pPr>
        <w:bidi/>
        <w:spacing w:after="0" w:line="240" w:lineRule="auto"/>
        <w:jc w:val="both"/>
        <w:rPr>
          <w:rFonts w:asciiTheme="majorBidi" w:hAnsiTheme="majorBidi" w:cstheme="majorBidi"/>
          <w:b/>
          <w:bCs/>
          <w:sz w:val="36"/>
          <w:szCs w:val="36"/>
          <w:rtl/>
        </w:rPr>
      </w:pPr>
      <w:proofErr w:type="gramStart"/>
      <w:r w:rsidRPr="00671CDB">
        <w:rPr>
          <w:rFonts w:asciiTheme="majorBidi" w:hAnsiTheme="majorBidi" w:cstheme="majorBidi"/>
          <w:b/>
          <w:bCs/>
          <w:sz w:val="36"/>
          <w:szCs w:val="36"/>
          <w:rtl/>
        </w:rPr>
        <w:t>الفرع</w:t>
      </w:r>
      <w:proofErr w:type="gramEnd"/>
      <w:r w:rsidRPr="00671CDB">
        <w:rPr>
          <w:rFonts w:asciiTheme="majorBidi" w:hAnsiTheme="majorBidi" w:cstheme="majorBidi"/>
          <w:b/>
          <w:bCs/>
          <w:sz w:val="36"/>
          <w:szCs w:val="36"/>
          <w:rtl/>
        </w:rPr>
        <w:t xml:space="preserve"> الثالث: تعريف النسخ </w:t>
      </w:r>
    </w:p>
    <w:p w:rsidR="002333D7" w:rsidRPr="00671CDB" w:rsidRDefault="002333D7" w:rsidP="002333D7">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اختلف الأصوليون في حد النسخ، فمنهم من قال هو :" رفع الحكم الثابت بخطاب متقدّم بخطاب آخر متراخ عنه" واختاره جمع من الأصوليين الفقهاء والمتكلمين، ومنهم من قال:" إنه بيان انتهاء مدة الحكم"، وأول من ابتدأ هذا التعريف المعتزلة لاعتقادهم أن الله تعالى لا يصح أن ينهى عن شيء </w:t>
      </w:r>
      <w:r w:rsidRPr="00671CDB">
        <w:rPr>
          <w:rFonts w:ascii="Traditional Arabic" w:hAnsi="Traditional Arabic" w:cs="Traditional Arabic" w:hint="cs"/>
          <w:sz w:val="36"/>
          <w:szCs w:val="36"/>
          <w:rtl/>
        </w:rPr>
        <w:t xml:space="preserve">سبق أن </w:t>
      </w:r>
      <w:r w:rsidRPr="00671CDB">
        <w:rPr>
          <w:rFonts w:ascii="Traditional Arabic" w:hAnsi="Traditional Arabic" w:cs="Traditional Arabic"/>
          <w:sz w:val="36"/>
          <w:szCs w:val="36"/>
          <w:rtl/>
        </w:rPr>
        <w:t>أمر به؛ فرارا من عقيدة البداء، وكذلك فرارا من لزوم التناقض في قولهم إن الحسن والقبح ذاتيان مطلقا، وقد تبعهم على هذا القول بعض الفقهاء لعدم تفطنهم للعقائد المنطوية تحته كما قال ابن عقيل، وهو أولى مما زعمه الزركشي من أن</w:t>
      </w:r>
      <w:r w:rsidRPr="00671CDB">
        <w:rPr>
          <w:rFonts w:ascii="Traditional Arabic" w:hAnsi="Traditional Arabic" w:cs="Traditional Arabic" w:hint="cs"/>
          <w:sz w:val="36"/>
          <w:szCs w:val="36"/>
          <w:rtl/>
        </w:rPr>
        <w:t xml:space="preserve">هم </w:t>
      </w:r>
      <w:r w:rsidRPr="00671CDB">
        <w:rPr>
          <w:rFonts w:ascii="Traditional Arabic" w:hAnsi="Traditional Arabic" w:cs="Traditional Arabic"/>
          <w:sz w:val="36"/>
          <w:szCs w:val="36"/>
          <w:rtl/>
        </w:rPr>
        <w:t>اختاروا هذا الحد بناء على القول بقدم الكلام، والقديم لا يرفع ولا يزال.</w:t>
      </w:r>
    </w:p>
    <w:p w:rsidR="002333D7" w:rsidRPr="00671CDB" w:rsidRDefault="002333D7" w:rsidP="002333D7">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وأما من كان يعتقد العقائد </w:t>
      </w:r>
      <w:proofErr w:type="spellStart"/>
      <w:r w:rsidRPr="00671CDB">
        <w:rPr>
          <w:rFonts w:ascii="Traditional Arabic" w:hAnsi="Traditional Arabic" w:cs="Traditional Arabic"/>
          <w:sz w:val="36"/>
          <w:szCs w:val="36"/>
          <w:rtl/>
        </w:rPr>
        <w:t>الاعتزالية</w:t>
      </w:r>
      <w:proofErr w:type="spellEnd"/>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 xml:space="preserve">أو له ميل إليها </w:t>
      </w:r>
      <w:r w:rsidRPr="00671CDB">
        <w:rPr>
          <w:rFonts w:ascii="Traditional Arabic" w:hAnsi="Traditional Arabic" w:cs="Traditional Arabic"/>
          <w:sz w:val="36"/>
          <w:szCs w:val="36"/>
          <w:rtl/>
        </w:rPr>
        <w:t>فلا غرابة في اختياره لهذا التعريف كالجصاص الذي صرح بأنه لا فرق بين النسخ والتخصيص وأن كل واحد منها بيان، إلا أن النسخ فيه بيان مدة الحكم.</w:t>
      </w:r>
    </w:p>
    <w:p w:rsidR="002333D7" w:rsidRPr="00671CDB" w:rsidRDefault="002333D7" w:rsidP="002333D7">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والتعريف الأول هو الذي يتناسب مع اعتقاد أهل السنة من إثبات الفعل الاختياري لله عز وجل المتعلق بمشيئته، وقد قال به الباقلاني وغيره من الأشاعرة لا لقولهم بمذهب أهل السنة ولكن مناقضة </w:t>
      </w:r>
      <w:r w:rsidRPr="00671CDB">
        <w:rPr>
          <w:rFonts w:ascii="Traditional Arabic" w:hAnsi="Traditional Arabic" w:cs="Traditional Arabic"/>
          <w:sz w:val="36"/>
          <w:szCs w:val="36"/>
          <w:rtl/>
        </w:rPr>
        <w:lastRenderedPageBreak/>
        <w:t xml:space="preserve">للمعتزلة كما هو شأنهم في مسائل الاعتقاد، وأما من تأمل منهم المسألة ولاحظ بناءها على إثبات الفعل الاختياري لله تعالى، فإنه رجع إلى قول المعتزلة كالأستاذ أبي إسحاق والجويني والرازي والقرافي، لأنهم لا يثبتون صفة الكلام صفة فعلية ولكن صفة ذاتية قديمة، والقديم لا يرفع ولا يزال كما قال الزركشي. </w:t>
      </w:r>
    </w:p>
    <w:p w:rsidR="002333D7" w:rsidRPr="00671CDB" w:rsidRDefault="002333D7" w:rsidP="002333D7">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الفرع </w:t>
      </w:r>
      <w:proofErr w:type="gramStart"/>
      <w:r w:rsidRPr="00671CDB">
        <w:rPr>
          <w:rFonts w:asciiTheme="majorBidi" w:hAnsiTheme="majorBidi" w:cstheme="majorBidi"/>
          <w:b/>
          <w:bCs/>
          <w:sz w:val="36"/>
          <w:szCs w:val="36"/>
          <w:rtl/>
        </w:rPr>
        <w:t>الرابع :</w:t>
      </w:r>
      <w:proofErr w:type="gramEnd"/>
      <w:r w:rsidRPr="00671CDB">
        <w:rPr>
          <w:rFonts w:asciiTheme="majorBidi" w:hAnsiTheme="majorBidi" w:cstheme="majorBidi"/>
          <w:b/>
          <w:bCs/>
          <w:sz w:val="36"/>
          <w:szCs w:val="36"/>
          <w:rtl/>
        </w:rPr>
        <w:t xml:space="preserve"> تعريف العلة </w:t>
      </w:r>
    </w:p>
    <w:p w:rsidR="002333D7" w:rsidRDefault="002333D7" w:rsidP="002333D7">
      <w:pPr>
        <w:bidi/>
        <w:spacing w:after="0" w:line="240" w:lineRule="auto"/>
        <w:jc w:val="both"/>
        <w:rPr>
          <w:rFonts w:ascii="Traditional Arabic" w:hAnsi="Traditional Arabic" w:cs="Traditional Arabic" w:hint="cs"/>
          <w:sz w:val="36"/>
          <w:szCs w:val="36"/>
          <w:rtl/>
        </w:rPr>
      </w:pPr>
      <w:r w:rsidRPr="00671CDB">
        <w:rPr>
          <w:rFonts w:ascii="Traditional Arabic" w:hAnsi="Traditional Arabic" w:cs="Traditional Arabic"/>
          <w:sz w:val="36"/>
          <w:szCs w:val="36"/>
          <w:rtl/>
        </w:rPr>
        <w:t xml:space="preserve">    اختلف الأصوليون في تعريف العلة، وكثير من ذلك الاختلاف راجع إلى معان كلامية، وقد حدها أكثر الأشاعرة بأنها المعرف للحكم أو العلامة أو الأمارة، حيث تكون دالة على وجود الحكم وليست بمؤثرة، لأن المؤثر عندهم هو الله تعالى وحده، خلافا للمعتزلة الذين عرفوها بأنها المؤثر بنفسه. لكن بعض الأشاعرة شعروا بأن تعريف </w:t>
      </w:r>
      <w:proofErr w:type="spellStart"/>
      <w:r w:rsidRPr="00671CDB">
        <w:rPr>
          <w:rFonts w:ascii="Traditional Arabic" w:hAnsi="Traditional Arabic" w:cs="Traditional Arabic"/>
          <w:sz w:val="36"/>
          <w:szCs w:val="36"/>
          <w:rtl/>
        </w:rPr>
        <w:t>متقدميهم</w:t>
      </w:r>
      <w:proofErr w:type="spellEnd"/>
      <w:r w:rsidRPr="00671CDB">
        <w:rPr>
          <w:rFonts w:ascii="Traditional Arabic" w:hAnsi="Traditional Arabic" w:cs="Traditional Arabic"/>
          <w:sz w:val="36"/>
          <w:szCs w:val="36"/>
          <w:rtl/>
        </w:rPr>
        <w:t xml:space="preserve"> يتنافى مع حقائق الأصول وألفاظ الفقهاء فعدلوا عنه، فقال الغزالي إنها مؤثرة بجعل الشارع إياها مؤثرة كما هو قول معظم الحنفية، وقد رُدَّ عليه قوله بأن الحكم قديم والعلة حادثة والحادث لا يؤثر في القديم، وهذا الإشكال بعينه أوردوه على الحكم الشرعي المتعلق بأفعال المكلفين، لأن فعل المخلوق حادث فكيف يتعلق </w:t>
      </w:r>
      <w:r w:rsidRPr="00671CDB">
        <w:rPr>
          <w:rFonts w:ascii="Traditional Arabic" w:hAnsi="Traditional Arabic" w:cs="Traditional Arabic" w:hint="cs"/>
          <w:sz w:val="36"/>
          <w:szCs w:val="36"/>
          <w:rtl/>
        </w:rPr>
        <w:t xml:space="preserve">الحكم </w:t>
      </w:r>
      <w:r w:rsidRPr="00671CDB">
        <w:rPr>
          <w:rFonts w:ascii="Traditional Arabic" w:hAnsi="Traditional Arabic" w:cs="Traditional Arabic"/>
          <w:sz w:val="36"/>
          <w:szCs w:val="36"/>
          <w:rtl/>
        </w:rPr>
        <w:t xml:space="preserve">القديم بالحادث، وإنما استشكلوا هذا بناء على زعمهم أن كلام الله تعالى صفة ذاتية قديمة لا فعلية متجددة كما هو قول أهل السنة. وقريب من تعريف الغزالي للعلة قول </w:t>
      </w:r>
      <w:proofErr w:type="spellStart"/>
      <w:r w:rsidRPr="00671CDB">
        <w:rPr>
          <w:rFonts w:ascii="Traditional Arabic" w:hAnsi="Traditional Arabic" w:cs="Traditional Arabic"/>
          <w:sz w:val="36"/>
          <w:szCs w:val="36"/>
          <w:rtl/>
        </w:rPr>
        <w:t>الآمدي</w:t>
      </w:r>
      <w:proofErr w:type="spellEnd"/>
      <w:r w:rsidRPr="00671CDB">
        <w:rPr>
          <w:rFonts w:ascii="Traditional Arabic" w:hAnsi="Traditional Arabic" w:cs="Traditional Arabic"/>
          <w:sz w:val="36"/>
          <w:szCs w:val="36"/>
          <w:rtl/>
        </w:rPr>
        <w:t xml:space="preserve"> إنها الباعث على التشريع، وقد رُدَّ عليه بأنه يؤدي إلى القول بأن الرب تعالى يعلل أفعاله بالأغراض والأشعرية لا يقولون بذلك، وهذا الرد مبني على نفي الحكمة والتعليل في أفعال الله تعالى وشرعه، وأما من لم يعتقد ذلك فلا  إشكال عنده في تسمية العلة مؤثرا وموجبا وباعثا وداعيا ومناطا. </w:t>
      </w:r>
    </w:p>
    <w:p w:rsidR="008A042B" w:rsidRDefault="008A042B" w:rsidP="008A042B">
      <w:pPr>
        <w:bidi/>
        <w:spacing w:after="0" w:line="240" w:lineRule="auto"/>
        <w:jc w:val="center"/>
        <w:rPr>
          <w:rFonts w:asciiTheme="majorBidi" w:hAnsiTheme="majorBidi" w:cstheme="majorBidi" w:hint="cs"/>
          <w:b/>
          <w:bCs/>
          <w:sz w:val="36"/>
          <w:szCs w:val="36"/>
          <w:rtl/>
        </w:rPr>
      </w:pPr>
    </w:p>
    <w:p w:rsidR="008A042B" w:rsidRPr="008A042B" w:rsidRDefault="008A042B" w:rsidP="008A042B">
      <w:pPr>
        <w:bidi/>
        <w:spacing w:after="0" w:line="240" w:lineRule="auto"/>
        <w:jc w:val="center"/>
        <w:rPr>
          <w:rFonts w:asciiTheme="majorBidi" w:hAnsiTheme="majorBidi" w:cstheme="majorBidi"/>
          <w:b/>
          <w:bCs/>
          <w:sz w:val="36"/>
          <w:szCs w:val="36"/>
          <w:rtl/>
        </w:rPr>
      </w:pPr>
      <w:bookmarkStart w:id="0" w:name="_GoBack"/>
      <w:bookmarkEnd w:id="0"/>
      <w:r w:rsidRPr="008A042B">
        <w:rPr>
          <w:rFonts w:asciiTheme="majorBidi" w:hAnsiTheme="majorBidi" w:cstheme="majorBidi"/>
          <w:b/>
          <w:bCs/>
          <w:sz w:val="36"/>
          <w:szCs w:val="36"/>
          <w:rtl/>
        </w:rPr>
        <w:t>أسئلة لتعميق الفهم</w:t>
      </w:r>
    </w:p>
    <w:p w:rsidR="008A042B" w:rsidRDefault="008A042B" w:rsidP="008A042B">
      <w:pPr>
        <w:bidi/>
        <w:spacing w:after="0" w:line="240"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1-ما دام الميدان العملي لتطبيق أصول الفقه وهو الفقه أساسا ثم التفسير وبقية العلوم المستندة للكتاب </w:t>
      </w:r>
      <w:proofErr w:type="gramStart"/>
      <w:r>
        <w:rPr>
          <w:rFonts w:ascii="Traditional Arabic" w:hAnsi="Traditional Arabic" w:cs="Traditional Arabic" w:hint="cs"/>
          <w:sz w:val="36"/>
          <w:szCs w:val="36"/>
          <w:rtl/>
        </w:rPr>
        <w:t>والسنة ؛</w:t>
      </w:r>
      <w:proofErr w:type="gramEnd"/>
      <w:r>
        <w:rPr>
          <w:rFonts w:ascii="Traditional Arabic" w:hAnsi="Traditional Arabic" w:cs="Traditional Arabic" w:hint="cs"/>
          <w:sz w:val="36"/>
          <w:szCs w:val="36"/>
          <w:rtl/>
        </w:rPr>
        <w:t xml:space="preserve"> فهل ترون من فائدة لمخالفة المتكلمين لمصطلحات الفقهاء.</w:t>
      </w:r>
    </w:p>
    <w:p w:rsidR="008A042B" w:rsidRPr="00671CDB" w:rsidRDefault="008A042B" w:rsidP="008A042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2-انتقصت مدرسة الفقهاء بكونها تخضع المفاهيم الأصولية والقواعد للفروع </w:t>
      </w:r>
      <w:proofErr w:type="gramStart"/>
      <w:r>
        <w:rPr>
          <w:rFonts w:ascii="Traditional Arabic" w:hAnsi="Traditional Arabic" w:cs="Traditional Arabic" w:hint="cs"/>
          <w:sz w:val="36"/>
          <w:szCs w:val="36"/>
          <w:rtl/>
        </w:rPr>
        <w:t>المذهبية ،</w:t>
      </w:r>
      <w:proofErr w:type="gramEnd"/>
      <w:r>
        <w:rPr>
          <w:rFonts w:ascii="Traditional Arabic" w:hAnsi="Traditional Arabic" w:cs="Traditional Arabic" w:hint="cs"/>
          <w:sz w:val="36"/>
          <w:szCs w:val="36"/>
          <w:rtl/>
        </w:rPr>
        <w:t xml:space="preserve"> فهل سلمت  مدرسة المتكلمين من ذلك.</w:t>
      </w:r>
    </w:p>
    <w:p w:rsidR="00BC7638" w:rsidRDefault="00784A71"/>
    <w:sectPr w:rsidR="00BC76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A71" w:rsidRDefault="00784A71" w:rsidP="008A042B">
      <w:pPr>
        <w:spacing w:after="0" w:line="240" w:lineRule="auto"/>
      </w:pPr>
      <w:r>
        <w:separator/>
      </w:r>
    </w:p>
  </w:endnote>
  <w:endnote w:type="continuationSeparator" w:id="0">
    <w:p w:rsidR="00784A71" w:rsidRDefault="00784A71" w:rsidP="008A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9055145"/>
      <w:docPartObj>
        <w:docPartGallery w:val="Page Numbers (Bottom of Page)"/>
        <w:docPartUnique/>
      </w:docPartObj>
    </w:sdtPr>
    <w:sdtContent>
      <w:p w:rsidR="008A042B" w:rsidRDefault="008A042B" w:rsidP="008A042B">
        <w:pPr>
          <w:pStyle w:val="Pieddepage"/>
          <w:bidi/>
          <w:jc w:val="center"/>
          <w:rPr>
            <w:rFonts w:hint="cs"/>
            <w:rtl/>
          </w:rPr>
        </w:pPr>
        <w:r>
          <w:fldChar w:fldCharType="begin"/>
        </w:r>
        <w:r>
          <w:instrText>PAGE   \* MERGEFORMAT</w:instrText>
        </w:r>
        <w:r>
          <w:fldChar w:fldCharType="separate"/>
        </w:r>
        <w:r>
          <w:rPr>
            <w:noProof/>
            <w:rtl/>
          </w:rPr>
          <w:t>4</w:t>
        </w:r>
        <w:r>
          <w:fldChar w:fldCharType="end"/>
        </w:r>
      </w:p>
      <w:p w:rsidR="008A042B" w:rsidRDefault="008A042B" w:rsidP="008A042B">
        <w:pPr>
          <w:pStyle w:val="Pieddepage"/>
          <w:bidi/>
          <w:jc w:val="right"/>
        </w:pPr>
        <w:r>
          <w:rPr>
            <w:rFonts w:hint="cs"/>
            <w:rtl/>
          </w:rPr>
          <w:t xml:space="preserve">المباحث الكلامية </w:t>
        </w:r>
        <w:proofErr w:type="gramStart"/>
        <w:r>
          <w:rPr>
            <w:rFonts w:hint="cs"/>
            <w:rtl/>
          </w:rPr>
          <w:t>في</w:t>
        </w:r>
        <w:proofErr w:type="gramEnd"/>
        <w:r>
          <w:rPr>
            <w:rFonts w:hint="cs"/>
            <w:rtl/>
          </w:rPr>
          <w:t xml:space="preserve"> علم الأصول والسياسة الشرعية</w:t>
        </w:r>
      </w:p>
    </w:sdtContent>
  </w:sdt>
  <w:p w:rsidR="008A042B" w:rsidRDefault="008A042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A71" w:rsidRDefault="00784A71" w:rsidP="008A042B">
      <w:pPr>
        <w:spacing w:after="0" w:line="240" w:lineRule="auto"/>
      </w:pPr>
      <w:r>
        <w:separator/>
      </w:r>
    </w:p>
  </w:footnote>
  <w:footnote w:type="continuationSeparator" w:id="0">
    <w:p w:rsidR="00784A71" w:rsidRDefault="00784A71" w:rsidP="008A04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D7"/>
    <w:rsid w:val="002333D7"/>
    <w:rsid w:val="00461488"/>
    <w:rsid w:val="00784A71"/>
    <w:rsid w:val="008A042B"/>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3D7"/>
  </w:style>
  <w:style w:type="paragraph" w:styleId="Titre2">
    <w:name w:val="heading 2"/>
    <w:basedOn w:val="Normal"/>
    <w:next w:val="Normal"/>
    <w:link w:val="Titre2Car"/>
    <w:qFormat/>
    <w:rsid w:val="002333D7"/>
    <w:pPr>
      <w:keepNext/>
      <w:bidi/>
      <w:spacing w:after="0" w:line="240" w:lineRule="auto"/>
      <w:jc w:val="lowKashida"/>
      <w:outlineLvl w:val="1"/>
    </w:pPr>
    <w:rPr>
      <w:rFonts w:ascii="Times New Roman" w:eastAsia="Times New Roman" w:hAnsi="Times New Roman" w:cs="Traditional Arabic"/>
      <w:sz w:val="20"/>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333D7"/>
    <w:rPr>
      <w:rFonts w:ascii="Times New Roman" w:eastAsia="Times New Roman" w:hAnsi="Times New Roman" w:cs="Traditional Arabic"/>
      <w:sz w:val="20"/>
      <w:szCs w:val="32"/>
      <w:lang w:val="en-US"/>
    </w:rPr>
  </w:style>
  <w:style w:type="character" w:customStyle="1" w:styleId="TitreCar">
    <w:name w:val="Titre Car"/>
    <w:basedOn w:val="Policepardfaut"/>
    <w:link w:val="Titre"/>
    <w:rsid w:val="002333D7"/>
    <w:rPr>
      <w:rFonts w:ascii="Times New Roman" w:eastAsia="Times New Roman" w:hAnsi="Times New Roman" w:cs="Traditional Arabic"/>
      <w:sz w:val="20"/>
      <w:szCs w:val="32"/>
      <w:lang w:val="en-US"/>
    </w:rPr>
  </w:style>
  <w:style w:type="paragraph" w:styleId="Titre">
    <w:name w:val="Title"/>
    <w:basedOn w:val="Normal"/>
    <w:link w:val="TitreCar"/>
    <w:qFormat/>
    <w:rsid w:val="002333D7"/>
    <w:pPr>
      <w:bidi/>
      <w:spacing w:after="0" w:line="240" w:lineRule="auto"/>
      <w:jc w:val="center"/>
    </w:pPr>
    <w:rPr>
      <w:rFonts w:ascii="Times New Roman" w:eastAsia="Times New Roman" w:hAnsi="Times New Roman" w:cs="Traditional Arabic"/>
      <w:sz w:val="20"/>
      <w:szCs w:val="32"/>
      <w:lang w:val="en-US"/>
    </w:rPr>
  </w:style>
  <w:style w:type="character" w:customStyle="1" w:styleId="TitreCar1">
    <w:name w:val="Titre Car1"/>
    <w:basedOn w:val="Policepardfaut"/>
    <w:uiPriority w:val="10"/>
    <w:rsid w:val="002333D7"/>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8A042B"/>
    <w:pPr>
      <w:tabs>
        <w:tab w:val="center" w:pos="4153"/>
        <w:tab w:val="right" w:pos="8306"/>
      </w:tabs>
      <w:spacing w:after="0" w:line="240" w:lineRule="auto"/>
    </w:pPr>
  </w:style>
  <w:style w:type="character" w:customStyle="1" w:styleId="En-tteCar">
    <w:name w:val="En-tête Car"/>
    <w:basedOn w:val="Policepardfaut"/>
    <w:link w:val="En-tte"/>
    <w:uiPriority w:val="99"/>
    <w:rsid w:val="008A042B"/>
  </w:style>
  <w:style w:type="paragraph" w:styleId="Pieddepage">
    <w:name w:val="footer"/>
    <w:basedOn w:val="Normal"/>
    <w:link w:val="PieddepageCar"/>
    <w:uiPriority w:val="99"/>
    <w:unhideWhenUsed/>
    <w:rsid w:val="008A042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A0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3D7"/>
  </w:style>
  <w:style w:type="paragraph" w:styleId="Titre2">
    <w:name w:val="heading 2"/>
    <w:basedOn w:val="Normal"/>
    <w:next w:val="Normal"/>
    <w:link w:val="Titre2Car"/>
    <w:qFormat/>
    <w:rsid w:val="002333D7"/>
    <w:pPr>
      <w:keepNext/>
      <w:bidi/>
      <w:spacing w:after="0" w:line="240" w:lineRule="auto"/>
      <w:jc w:val="lowKashida"/>
      <w:outlineLvl w:val="1"/>
    </w:pPr>
    <w:rPr>
      <w:rFonts w:ascii="Times New Roman" w:eastAsia="Times New Roman" w:hAnsi="Times New Roman" w:cs="Traditional Arabic"/>
      <w:sz w:val="20"/>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333D7"/>
    <w:rPr>
      <w:rFonts w:ascii="Times New Roman" w:eastAsia="Times New Roman" w:hAnsi="Times New Roman" w:cs="Traditional Arabic"/>
      <w:sz w:val="20"/>
      <w:szCs w:val="32"/>
      <w:lang w:val="en-US"/>
    </w:rPr>
  </w:style>
  <w:style w:type="character" w:customStyle="1" w:styleId="TitreCar">
    <w:name w:val="Titre Car"/>
    <w:basedOn w:val="Policepardfaut"/>
    <w:link w:val="Titre"/>
    <w:rsid w:val="002333D7"/>
    <w:rPr>
      <w:rFonts w:ascii="Times New Roman" w:eastAsia="Times New Roman" w:hAnsi="Times New Roman" w:cs="Traditional Arabic"/>
      <w:sz w:val="20"/>
      <w:szCs w:val="32"/>
      <w:lang w:val="en-US"/>
    </w:rPr>
  </w:style>
  <w:style w:type="paragraph" w:styleId="Titre">
    <w:name w:val="Title"/>
    <w:basedOn w:val="Normal"/>
    <w:link w:val="TitreCar"/>
    <w:qFormat/>
    <w:rsid w:val="002333D7"/>
    <w:pPr>
      <w:bidi/>
      <w:spacing w:after="0" w:line="240" w:lineRule="auto"/>
      <w:jc w:val="center"/>
    </w:pPr>
    <w:rPr>
      <w:rFonts w:ascii="Times New Roman" w:eastAsia="Times New Roman" w:hAnsi="Times New Roman" w:cs="Traditional Arabic"/>
      <w:sz w:val="20"/>
      <w:szCs w:val="32"/>
      <w:lang w:val="en-US"/>
    </w:rPr>
  </w:style>
  <w:style w:type="character" w:customStyle="1" w:styleId="TitreCar1">
    <w:name w:val="Titre Car1"/>
    <w:basedOn w:val="Policepardfaut"/>
    <w:uiPriority w:val="10"/>
    <w:rsid w:val="002333D7"/>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8A042B"/>
    <w:pPr>
      <w:tabs>
        <w:tab w:val="center" w:pos="4153"/>
        <w:tab w:val="right" w:pos="8306"/>
      </w:tabs>
      <w:spacing w:after="0" w:line="240" w:lineRule="auto"/>
    </w:pPr>
  </w:style>
  <w:style w:type="character" w:customStyle="1" w:styleId="En-tteCar">
    <w:name w:val="En-tête Car"/>
    <w:basedOn w:val="Policepardfaut"/>
    <w:link w:val="En-tte"/>
    <w:uiPriority w:val="99"/>
    <w:rsid w:val="008A042B"/>
  </w:style>
  <w:style w:type="paragraph" w:styleId="Pieddepage">
    <w:name w:val="footer"/>
    <w:basedOn w:val="Normal"/>
    <w:link w:val="PieddepageCar"/>
    <w:uiPriority w:val="99"/>
    <w:unhideWhenUsed/>
    <w:rsid w:val="008A042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A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1138</Words>
  <Characters>6262</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2021-01-08T10:32:00Z</dcterms:created>
  <dcterms:modified xsi:type="dcterms:W3CDTF">2021-01-08T10:44:00Z</dcterms:modified>
</cp:coreProperties>
</file>