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F29" w:rsidRDefault="00602F29" w:rsidP="00602F29">
      <w:pPr>
        <w:bidi/>
        <w:spacing w:after="0" w:line="240" w:lineRule="auto"/>
        <w:jc w:val="center"/>
        <w:rPr>
          <w:rFonts w:cs="Arabic Transparent"/>
          <w:b/>
          <w:bCs/>
          <w:sz w:val="36"/>
          <w:szCs w:val="36"/>
          <w:rtl/>
          <w:lang w:bidi="ar-DZ"/>
        </w:rPr>
      </w:pPr>
      <w:proofErr w:type="gramStart"/>
      <w:r>
        <w:rPr>
          <w:rFonts w:cs="Arabic Transparent" w:hint="cs"/>
          <w:b/>
          <w:bCs/>
          <w:sz w:val="36"/>
          <w:szCs w:val="36"/>
          <w:rtl/>
          <w:lang w:bidi="ar-DZ"/>
        </w:rPr>
        <w:t>الدرس</w:t>
      </w:r>
      <w:proofErr w:type="gramEnd"/>
      <w:r>
        <w:rPr>
          <w:rFonts w:cs="Arabic Transparent" w:hint="cs"/>
          <w:b/>
          <w:bCs/>
          <w:sz w:val="36"/>
          <w:szCs w:val="36"/>
          <w:rtl/>
          <w:lang w:bidi="ar-DZ"/>
        </w:rPr>
        <w:t xml:space="preserve"> الرابع:</w:t>
      </w:r>
    </w:p>
    <w:p w:rsidR="00602F29" w:rsidRPr="00671CDB" w:rsidRDefault="00602F29" w:rsidP="0050613C">
      <w:pPr>
        <w:bidi/>
        <w:spacing w:after="0" w:line="240" w:lineRule="auto"/>
        <w:jc w:val="center"/>
        <w:rPr>
          <w:rFonts w:cs="Arabic Transparent"/>
          <w:b/>
          <w:bCs/>
          <w:sz w:val="36"/>
          <w:szCs w:val="36"/>
          <w:rtl/>
          <w:lang w:bidi="ar-DZ"/>
        </w:rPr>
      </w:pPr>
      <w:r w:rsidRPr="00671CDB">
        <w:rPr>
          <w:rFonts w:cs="Arabic Transparent" w:hint="cs"/>
          <w:b/>
          <w:bCs/>
          <w:sz w:val="36"/>
          <w:szCs w:val="36"/>
          <w:rtl/>
          <w:lang w:bidi="ar-DZ"/>
        </w:rPr>
        <w:t xml:space="preserve"> </w:t>
      </w:r>
      <w:bookmarkStart w:id="0" w:name="_GoBack"/>
      <w:r>
        <w:rPr>
          <w:rFonts w:cs="Arabic Transparent" w:hint="cs"/>
          <w:b/>
          <w:bCs/>
          <w:sz w:val="36"/>
          <w:szCs w:val="36"/>
          <w:rtl/>
          <w:lang w:bidi="ar-DZ"/>
        </w:rPr>
        <w:t xml:space="preserve">من </w:t>
      </w:r>
      <w:r w:rsidRPr="00671CDB">
        <w:rPr>
          <w:rFonts w:cs="Arabic Transparent" w:hint="cs"/>
          <w:b/>
          <w:bCs/>
          <w:sz w:val="36"/>
          <w:szCs w:val="36"/>
          <w:rtl/>
          <w:lang w:bidi="ar-DZ"/>
        </w:rPr>
        <w:t>الم</w:t>
      </w:r>
      <w:r w:rsidR="0050613C">
        <w:rPr>
          <w:rFonts w:cs="Arabic Transparent" w:hint="cs"/>
          <w:b/>
          <w:bCs/>
          <w:sz w:val="36"/>
          <w:szCs w:val="36"/>
          <w:rtl/>
          <w:lang w:bidi="ar-DZ"/>
        </w:rPr>
        <w:t xml:space="preserve">باحث </w:t>
      </w:r>
      <w:r w:rsidRPr="00671CDB">
        <w:rPr>
          <w:rFonts w:cs="Arabic Transparent" w:hint="cs"/>
          <w:b/>
          <w:bCs/>
          <w:sz w:val="36"/>
          <w:szCs w:val="36"/>
          <w:rtl/>
          <w:lang w:bidi="ar-DZ"/>
        </w:rPr>
        <w:t>الكلامية</w:t>
      </w:r>
      <w:r>
        <w:rPr>
          <w:rFonts w:cs="Arabic Transparent" w:hint="cs"/>
          <w:b/>
          <w:bCs/>
          <w:sz w:val="36"/>
          <w:szCs w:val="36"/>
          <w:rtl/>
          <w:lang w:bidi="ar-DZ"/>
        </w:rPr>
        <w:t>:</w:t>
      </w:r>
      <w:r w:rsidRPr="00671CDB">
        <w:rPr>
          <w:rFonts w:cs="Arabic Transparent" w:hint="cs"/>
          <w:b/>
          <w:bCs/>
          <w:sz w:val="36"/>
          <w:szCs w:val="36"/>
          <w:rtl/>
          <w:lang w:bidi="ar-DZ"/>
        </w:rPr>
        <w:t xml:space="preserve"> م</w:t>
      </w:r>
      <w:r w:rsidR="0050613C">
        <w:rPr>
          <w:rFonts w:cs="Arabic Transparent" w:hint="cs"/>
          <w:b/>
          <w:bCs/>
          <w:sz w:val="36"/>
          <w:szCs w:val="36"/>
          <w:rtl/>
          <w:lang w:bidi="ar-DZ"/>
        </w:rPr>
        <w:t>باحث</w:t>
      </w:r>
      <w:r w:rsidRPr="00671CDB">
        <w:rPr>
          <w:rFonts w:cs="Arabic Transparent" w:hint="cs"/>
          <w:b/>
          <w:bCs/>
          <w:sz w:val="36"/>
          <w:szCs w:val="36"/>
          <w:rtl/>
          <w:lang w:bidi="ar-DZ"/>
        </w:rPr>
        <w:t xml:space="preserve"> </w:t>
      </w:r>
      <w:proofErr w:type="gramStart"/>
      <w:r w:rsidRPr="00671CDB">
        <w:rPr>
          <w:rFonts w:cs="Arabic Transparent" w:hint="cs"/>
          <w:b/>
          <w:bCs/>
          <w:sz w:val="36"/>
          <w:szCs w:val="36"/>
          <w:rtl/>
          <w:lang w:bidi="ar-DZ"/>
        </w:rPr>
        <w:t xml:space="preserve">التكليف  </w:t>
      </w:r>
      <w:bookmarkEnd w:id="0"/>
      <w:proofErr w:type="gramEnd"/>
    </w:p>
    <w:p w:rsidR="00602F29" w:rsidRPr="00F65982" w:rsidRDefault="00602F29" w:rsidP="00602F29">
      <w:pPr>
        <w:bidi/>
        <w:spacing w:after="0" w:line="240" w:lineRule="auto"/>
        <w:jc w:val="both"/>
        <w:rPr>
          <w:rFonts w:ascii="Traditional Arabic" w:hAnsi="Traditional Arabic" w:cs="Traditional Arabic"/>
          <w:b/>
          <w:bCs/>
          <w:sz w:val="36"/>
          <w:szCs w:val="36"/>
          <w:rtl/>
          <w:lang w:bidi="ar-DZ"/>
        </w:rPr>
      </w:pPr>
      <w:proofErr w:type="gramStart"/>
      <w:r w:rsidRPr="00F65982">
        <w:rPr>
          <w:rFonts w:ascii="Traditional Arabic" w:hAnsi="Traditional Arabic" w:cs="Traditional Arabic" w:hint="cs"/>
          <w:b/>
          <w:bCs/>
          <w:sz w:val="36"/>
          <w:szCs w:val="36"/>
          <w:rtl/>
          <w:lang w:bidi="ar-DZ"/>
        </w:rPr>
        <w:t>أهداف</w:t>
      </w:r>
      <w:proofErr w:type="gramEnd"/>
      <w:r w:rsidRPr="00F65982">
        <w:rPr>
          <w:rFonts w:ascii="Traditional Arabic" w:hAnsi="Traditional Arabic" w:cs="Traditional Arabic" w:hint="cs"/>
          <w:b/>
          <w:bCs/>
          <w:sz w:val="36"/>
          <w:szCs w:val="36"/>
          <w:rtl/>
          <w:lang w:bidi="ar-DZ"/>
        </w:rPr>
        <w:t xml:space="preserve"> الدرس:</w:t>
      </w:r>
    </w:p>
    <w:p w:rsidR="00602F29" w:rsidRDefault="00602F29" w:rsidP="00602F29">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1-</w:t>
      </w:r>
      <w:r w:rsidRPr="00671CDB">
        <w:rPr>
          <w:rFonts w:ascii="Traditional Arabic" w:hAnsi="Traditional Arabic" w:cs="Traditional Arabic" w:hint="cs"/>
          <w:sz w:val="36"/>
          <w:szCs w:val="36"/>
          <w:rtl/>
          <w:lang w:bidi="ar-DZ"/>
        </w:rPr>
        <w:t xml:space="preserve">تناول مسائل </w:t>
      </w:r>
      <w:r>
        <w:rPr>
          <w:rFonts w:ascii="Traditional Arabic" w:hAnsi="Traditional Arabic" w:cs="Traditional Arabic" w:hint="cs"/>
          <w:sz w:val="36"/>
          <w:szCs w:val="36"/>
          <w:rtl/>
          <w:lang w:bidi="ar-DZ"/>
        </w:rPr>
        <w:t>كلامية محضة ، ونخص منها مسائل ترد غالبا في مقدمات الكتب الأصولية لارتباطها بالتكليف ومنها ما يرد في باب الأوامر.</w:t>
      </w:r>
    </w:p>
    <w:p w:rsidR="00602F29" w:rsidRPr="00671CDB" w:rsidRDefault="00602F29" w:rsidP="00602F29">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2-بيان التسلسل العقلي الذي يؤدي إلى إقحام مسائل كلامية في الأصول وتأثير الانتماء الكلامي في الاختيارات فيها ، ثم عرض تلك الاختيارات على دلائل القرآن ومذاهب الفقهاء التي لا تذكر غالبا في كتب المتكلمين. </w:t>
      </w:r>
    </w:p>
    <w:p w:rsidR="00602F29" w:rsidRPr="00671CDB" w:rsidRDefault="00602F29" w:rsidP="00602F29">
      <w:pPr>
        <w:bidi/>
        <w:spacing w:after="0" w:line="240" w:lineRule="auto"/>
        <w:jc w:val="both"/>
        <w:rPr>
          <w:rFonts w:asciiTheme="majorBidi" w:hAnsiTheme="majorBidi" w:cstheme="majorBidi"/>
          <w:b/>
          <w:bCs/>
          <w:sz w:val="36"/>
          <w:szCs w:val="36"/>
          <w:rtl/>
        </w:rPr>
      </w:pPr>
      <w:r w:rsidRPr="00671CDB">
        <w:rPr>
          <w:rFonts w:asciiTheme="majorBidi" w:hAnsiTheme="majorBidi" w:cstheme="majorBidi"/>
          <w:b/>
          <w:bCs/>
          <w:sz w:val="36"/>
          <w:szCs w:val="36"/>
          <w:rtl/>
        </w:rPr>
        <w:t>ال</w:t>
      </w:r>
      <w:r w:rsidRPr="00671CDB">
        <w:rPr>
          <w:rFonts w:asciiTheme="majorBidi" w:hAnsiTheme="majorBidi" w:cstheme="majorBidi" w:hint="cs"/>
          <w:b/>
          <w:bCs/>
          <w:sz w:val="36"/>
          <w:szCs w:val="36"/>
          <w:rtl/>
        </w:rPr>
        <w:t>مطلب</w:t>
      </w:r>
      <w:r w:rsidRPr="00671CDB">
        <w:rPr>
          <w:rFonts w:asciiTheme="majorBidi" w:hAnsiTheme="majorBidi" w:cstheme="majorBidi"/>
          <w:b/>
          <w:bCs/>
          <w:sz w:val="36"/>
          <w:szCs w:val="36"/>
          <w:rtl/>
        </w:rPr>
        <w:t xml:space="preserve"> </w:t>
      </w:r>
      <w:proofErr w:type="gramStart"/>
      <w:r w:rsidRPr="00671CDB">
        <w:rPr>
          <w:rFonts w:asciiTheme="majorBidi" w:hAnsiTheme="majorBidi" w:cstheme="majorBidi"/>
          <w:b/>
          <w:bCs/>
          <w:sz w:val="36"/>
          <w:szCs w:val="36"/>
          <w:rtl/>
        </w:rPr>
        <w:t>الأول :</w:t>
      </w:r>
      <w:proofErr w:type="gramEnd"/>
      <w:r w:rsidRPr="00671CDB">
        <w:rPr>
          <w:rFonts w:asciiTheme="majorBidi" w:hAnsiTheme="majorBidi" w:cstheme="majorBidi"/>
          <w:b/>
          <w:bCs/>
          <w:sz w:val="36"/>
          <w:szCs w:val="36"/>
          <w:rtl/>
        </w:rPr>
        <w:t xml:space="preserve"> هل الاستطاعة تكون قبل الفعل أم معه؟</w:t>
      </w:r>
    </w:p>
    <w:p w:rsidR="00602F29" w:rsidRPr="00671CDB" w:rsidRDefault="00602F29" w:rsidP="00602F29">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اختلف المتكلمون في باب القدر في هذه المسألة على أقوال ونقلوا اختلافهم إلى كتب الأصول، ومجمل الأقوال فيها ثلاثة ، الأول أن الاستطاعة إنما تكون قبل الفعل وهو قول المعتزلة والثاني أن الاستطاعة لا تكون إلا مع الفعل وهو قول الأشاعرة، والقول الثالث وهو أن الاستطاعة نوعان أحدهما يكون قبل الفعل والآخر يكون مقارنا للفعل</w:t>
      </w:r>
      <w:r>
        <w:rPr>
          <w:rFonts w:ascii="Traditional Arabic" w:hAnsi="Traditional Arabic" w:cs="Traditional Arabic" w:hint="cs"/>
          <w:sz w:val="36"/>
          <w:szCs w:val="36"/>
          <w:rtl/>
        </w:rPr>
        <w:t>.</w:t>
      </w:r>
      <w:r w:rsidRPr="00671CDB">
        <w:rPr>
          <w:rFonts w:ascii="Traditional Arabic" w:hAnsi="Traditional Arabic" w:cs="Traditional Arabic" w:hint="cs"/>
          <w:sz w:val="36"/>
          <w:szCs w:val="36"/>
          <w:rtl/>
        </w:rPr>
        <w:t xml:space="preserve"> </w:t>
      </w:r>
    </w:p>
    <w:p w:rsidR="00602F29" w:rsidRPr="00671CDB" w:rsidRDefault="00602F29" w:rsidP="00602F29">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فأما اصحاب الرأي الأول فجعلوا وجود الاستطاعة شرطا في حسن الأمر، إذا لا يليق تكليف العاجز، ثم إن جعلوا هذه القدرة هي نفسها باقية إلى حين إنشاء الفعل بلا احتياج إلى توفيق الله ومعونته ولا هدايته، وبنوا القول ببقاء القدرة على القول بقاء الأعراض لزمانين .</w:t>
      </w:r>
    </w:p>
    <w:p w:rsidR="00602F29" w:rsidRPr="00671CDB" w:rsidRDefault="00602F29" w:rsidP="00602F29">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وأما أصحاب الرأي الثاني فجعلوا الاستطاعة مع الفعل لا قبله؛ لأن الأعراض عندهم لا تبقى زمانين، فلو وجدت الاستطاعة قبل الفعل لاستحال بقاؤها وسيقع الفعل من دونها وهذا محال فلابد من المقارنة .</w:t>
      </w:r>
    </w:p>
    <w:p w:rsidR="00602F29" w:rsidRPr="00671CDB" w:rsidRDefault="00602F29" w:rsidP="00602F29">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وأما القول الثالث وهو الصحيح وهو وجود الاستطاعة قبل الفعل وهي المصححة للفعل المجوزة له، والثانية المقارنة هي الموجبة للفعل المحققة له، الأولى هي مناط التكليف والمشترطة في أهليته، وهي المذكورة في قوله تعالى: (</w:t>
      </w:r>
      <w:r w:rsidRPr="00671CDB">
        <w:rPr>
          <w:rFonts w:ascii="Traditional Arabic" w:hAnsi="Traditional Arabic" w:cs="Traditional Arabic"/>
          <w:sz w:val="36"/>
          <w:szCs w:val="36"/>
          <w:rtl/>
        </w:rPr>
        <w:t>وَلِلَّهِ عَلَى النَّاسِ حِجُّ الْبَيْتِ مَنِ اسْتَطَاعَ إِلَيْهِ سَبِيلًا</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[آل عمران: 97]</w:t>
      </w:r>
      <w:r w:rsidRPr="00671CDB">
        <w:rPr>
          <w:rFonts w:ascii="Traditional Arabic" w:hAnsi="Traditional Arabic" w:cs="Traditional Arabic" w:hint="cs"/>
          <w:sz w:val="36"/>
          <w:szCs w:val="36"/>
          <w:rtl/>
        </w:rPr>
        <w:t xml:space="preserve"> وفي قوله : (</w:t>
      </w:r>
      <w:r w:rsidRPr="00671CDB">
        <w:rPr>
          <w:rFonts w:ascii="Traditional Arabic" w:hAnsi="Traditional Arabic" w:cs="Traditional Arabic"/>
          <w:sz w:val="36"/>
          <w:szCs w:val="36"/>
          <w:rtl/>
        </w:rPr>
        <w:t>لَا يُكَلِّفُ اللَّهُ نَفْسًا إِلَّا وُسْعَهَا لَهَا</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[البقرة: 286]</w:t>
      </w:r>
      <w:r w:rsidRPr="00671CDB">
        <w:rPr>
          <w:rFonts w:ascii="Traditional Arabic" w:hAnsi="Traditional Arabic" w:cs="Traditional Arabic" w:hint="cs"/>
          <w:sz w:val="36"/>
          <w:szCs w:val="36"/>
          <w:rtl/>
        </w:rPr>
        <w:t xml:space="preserve">، والقدرة الثانية هي مناط التنفيذ </w:t>
      </w:r>
      <w:proofErr w:type="spellStart"/>
      <w:r w:rsidRPr="00671CDB">
        <w:rPr>
          <w:rFonts w:ascii="Traditional Arabic" w:hAnsi="Traditional Arabic" w:cs="Traditional Arabic" w:hint="cs"/>
          <w:sz w:val="36"/>
          <w:szCs w:val="36"/>
          <w:rtl/>
        </w:rPr>
        <w:t>والتنجيز</w:t>
      </w:r>
      <w:proofErr w:type="spellEnd"/>
      <w:r w:rsidRPr="00671CDB">
        <w:rPr>
          <w:rFonts w:ascii="Traditional Arabic" w:hAnsi="Traditional Arabic" w:cs="Traditional Arabic" w:hint="cs"/>
          <w:sz w:val="36"/>
          <w:szCs w:val="36"/>
          <w:rtl/>
        </w:rPr>
        <w:t xml:space="preserve"> كما في قوله: (</w:t>
      </w:r>
      <w:r w:rsidRPr="00671CDB">
        <w:rPr>
          <w:rFonts w:ascii="Traditional Arabic" w:hAnsi="Traditional Arabic" w:cs="Traditional Arabic"/>
          <w:sz w:val="36"/>
          <w:szCs w:val="36"/>
          <w:rtl/>
        </w:rPr>
        <w:t>مَا كَانُوا يَسْتَطِيعُونَ السَّمْعَ وَمَا كَانُوا يُبْصِرُونَ</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[هود: 20]</w:t>
      </w:r>
      <w:r w:rsidRPr="00671CDB">
        <w:rPr>
          <w:rFonts w:ascii="Traditional Arabic" w:hAnsi="Traditional Arabic" w:cs="Traditional Arabic" w:hint="cs"/>
          <w:sz w:val="36"/>
          <w:szCs w:val="36"/>
          <w:rtl/>
        </w:rPr>
        <w:t xml:space="preserve"> ..وهذا مذهب السلف والفقهاء من أتباع الأئمة </w:t>
      </w:r>
      <w:proofErr w:type="spellStart"/>
      <w:r w:rsidRPr="00671CDB">
        <w:rPr>
          <w:rFonts w:ascii="Traditional Arabic" w:hAnsi="Traditional Arabic" w:cs="Traditional Arabic" w:hint="cs"/>
          <w:sz w:val="36"/>
          <w:szCs w:val="36"/>
          <w:rtl/>
        </w:rPr>
        <w:t>و</w:t>
      </w:r>
      <w:r>
        <w:rPr>
          <w:rFonts w:ascii="Traditional Arabic" w:hAnsi="Traditional Arabic" w:cs="Traditional Arabic" w:hint="cs"/>
          <w:sz w:val="36"/>
          <w:szCs w:val="36"/>
          <w:rtl/>
        </w:rPr>
        <w:t>الماتريدي</w:t>
      </w:r>
      <w:proofErr w:type="spellEnd"/>
      <w:r>
        <w:rPr>
          <w:rFonts w:ascii="Traditional Arabic" w:hAnsi="Traditional Arabic" w:cs="Traditional Arabic" w:hint="cs"/>
          <w:sz w:val="36"/>
          <w:szCs w:val="36"/>
          <w:rtl/>
        </w:rPr>
        <w:t xml:space="preserve"> و</w:t>
      </w:r>
      <w:r w:rsidRPr="00671CDB">
        <w:rPr>
          <w:rFonts w:ascii="Traditional Arabic" w:hAnsi="Traditional Arabic" w:cs="Traditional Arabic" w:hint="cs"/>
          <w:sz w:val="36"/>
          <w:szCs w:val="36"/>
          <w:rtl/>
        </w:rPr>
        <w:t>نصره بع</w:t>
      </w:r>
      <w:r>
        <w:rPr>
          <w:rFonts w:ascii="Traditional Arabic" w:hAnsi="Traditional Arabic" w:cs="Traditional Arabic" w:hint="cs"/>
          <w:sz w:val="36"/>
          <w:szCs w:val="36"/>
          <w:rtl/>
        </w:rPr>
        <w:t>ض</w:t>
      </w:r>
      <w:r w:rsidRPr="00671CDB">
        <w:rPr>
          <w:rFonts w:ascii="Traditional Arabic" w:hAnsi="Traditional Arabic" w:cs="Traditional Arabic" w:hint="cs"/>
          <w:sz w:val="36"/>
          <w:szCs w:val="36"/>
          <w:rtl/>
        </w:rPr>
        <w:t xml:space="preserve"> الحنفية في كتب الأصول.</w:t>
      </w:r>
    </w:p>
    <w:p w:rsidR="00602F29" w:rsidRPr="00671CDB" w:rsidRDefault="00602F29" w:rsidP="00602F29">
      <w:pPr>
        <w:bidi/>
        <w:spacing w:after="0" w:line="240" w:lineRule="auto"/>
        <w:jc w:val="both"/>
        <w:rPr>
          <w:rFonts w:asciiTheme="majorBidi" w:hAnsiTheme="majorBidi" w:cstheme="majorBidi"/>
          <w:b/>
          <w:bCs/>
          <w:sz w:val="36"/>
          <w:szCs w:val="36"/>
          <w:rtl/>
        </w:rPr>
      </w:pPr>
      <w:r w:rsidRPr="00671CDB">
        <w:rPr>
          <w:rFonts w:asciiTheme="majorBidi" w:hAnsiTheme="majorBidi" w:cstheme="majorBidi"/>
          <w:b/>
          <w:bCs/>
          <w:sz w:val="36"/>
          <w:szCs w:val="36"/>
          <w:rtl/>
        </w:rPr>
        <w:t xml:space="preserve">المطلب الثاني : التكليف بما لا يطاق </w:t>
      </w:r>
    </w:p>
    <w:p w:rsidR="00602F29" w:rsidRPr="00671CDB" w:rsidRDefault="00602F29" w:rsidP="00602F29">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lastRenderedPageBreak/>
        <w:t xml:space="preserve">   من المسائل المطروقة في كتب الأصول مسألة التكليف بما لا يطاق، وهي مسألة كلامية محضة ترجمتها تشبه قاعدة لا تكليف إلا بمقدور الفقهية وليست هي، وقد صرح الأشاعرة </w:t>
      </w:r>
      <w:r w:rsidRPr="00671CDB">
        <w:rPr>
          <w:rFonts w:ascii="Traditional Arabic" w:hAnsi="Traditional Arabic" w:cs="Traditional Arabic" w:hint="cs"/>
          <w:sz w:val="36"/>
          <w:szCs w:val="36"/>
          <w:rtl/>
        </w:rPr>
        <w:t>ب</w:t>
      </w:r>
      <w:r w:rsidRPr="00671CDB">
        <w:rPr>
          <w:rFonts w:ascii="Traditional Arabic" w:hAnsi="Traditional Arabic" w:cs="Traditional Arabic"/>
          <w:sz w:val="36"/>
          <w:szCs w:val="36"/>
          <w:rtl/>
        </w:rPr>
        <w:t>جواز ذلك، قال ابن العربي</w:t>
      </w:r>
      <w:r w:rsidRPr="00671CDB">
        <w:rPr>
          <w:rFonts w:ascii="Traditional Arabic" w:hAnsi="Traditional Arabic" w:cs="Traditional Arabic" w:hint="cs"/>
          <w:sz w:val="36"/>
          <w:szCs w:val="36"/>
          <w:rtl/>
        </w:rPr>
        <w:t xml:space="preserve"> في نكت المحصول</w:t>
      </w:r>
      <w:r w:rsidRPr="00671CDB">
        <w:rPr>
          <w:rFonts w:ascii="Traditional Arabic" w:hAnsi="Traditional Arabic" w:cs="Traditional Arabic"/>
          <w:sz w:val="36"/>
          <w:szCs w:val="36"/>
          <w:rtl/>
        </w:rPr>
        <w:t>:«</w:t>
      </w: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 xml:space="preserve">والصحيح أن تكليف ما لا يطاق جائز عقلا واقع شرعا، فإن الله تعالى كلف العباد العبادات والوظائف كلها قبل أن يقدروا عليها، لأن القدرة مع الفعل»، فبنى المسألة على قول الأشعرية بأن الاستطاعة لا تكون إلا مع الفعل لا قبله وهو من أقوال الجبرية، وقد أرجع الغزالي هذه المسألة إلى هذا الأصل وإلى أصل آخر أصرح في عقيدة الجبر، وهو أن القدرة الحادثة لا تأثير لها في إيجاد المقدور، فأفعال العباد حادثة بقدرة الله تعالى واختراعه، وعليه فكل عبد مأمور بفعل غيره. </w:t>
      </w:r>
      <w:proofErr w:type="gramStart"/>
      <w:r w:rsidRPr="00671CDB">
        <w:rPr>
          <w:rFonts w:ascii="Traditional Arabic" w:hAnsi="Traditional Arabic" w:cs="Traditional Arabic"/>
          <w:sz w:val="36"/>
          <w:szCs w:val="36"/>
          <w:rtl/>
        </w:rPr>
        <w:t>ومنهم</w:t>
      </w:r>
      <w:proofErr w:type="gramEnd"/>
      <w:r w:rsidRPr="00671CDB">
        <w:rPr>
          <w:rFonts w:ascii="Traditional Arabic" w:hAnsi="Traditional Arabic" w:cs="Traditional Arabic"/>
          <w:sz w:val="36"/>
          <w:szCs w:val="36"/>
          <w:rtl/>
        </w:rPr>
        <w:t xml:space="preserve"> من بنى المسألة على الحسن والقبح العقليين، فمن قال به منع التكليف بما لا يطاق ومن لم يقل به أجاز التكليف بما لا يطاق.</w:t>
      </w:r>
    </w:p>
    <w:p w:rsidR="00602F29" w:rsidRPr="00671CDB" w:rsidRDefault="00602F29" w:rsidP="00602F29">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وذهب المعتزلة إلى عدم جواز التكليف بما لا يطاق لقبحه عقلا ولأن الاستطاعة عندهم إنما تكون قبل الفعل، </w:t>
      </w:r>
      <w:proofErr w:type="spellStart"/>
      <w:r w:rsidRPr="00671CDB">
        <w:rPr>
          <w:rFonts w:ascii="Traditional Arabic" w:hAnsi="Traditional Arabic" w:cs="Traditional Arabic" w:hint="cs"/>
          <w:sz w:val="36"/>
          <w:szCs w:val="36"/>
          <w:rtl/>
        </w:rPr>
        <w:t>ووافقهم</w:t>
      </w:r>
      <w:proofErr w:type="spellEnd"/>
      <w:r w:rsidRPr="00671CDB">
        <w:rPr>
          <w:rFonts w:ascii="Traditional Arabic" w:hAnsi="Traditional Arabic" w:cs="Traditional Arabic" w:hint="cs"/>
          <w:sz w:val="36"/>
          <w:szCs w:val="36"/>
          <w:rtl/>
        </w:rPr>
        <w:t xml:space="preserve"> الجويني وابن القشيري والغزالي في المنخول لكن من جهة أخرى.</w:t>
      </w:r>
    </w:p>
    <w:p w:rsidR="00602F29" w:rsidRPr="00671CDB" w:rsidRDefault="00602F29" w:rsidP="00602F29">
      <w:pPr>
        <w:bidi/>
        <w:spacing w:after="0" w:line="240" w:lineRule="auto"/>
        <w:jc w:val="both"/>
        <w:rPr>
          <w:rFonts w:ascii="Traditional Arabic" w:hAnsi="Traditional Arabic" w:cs="Traditional Arabic"/>
          <w:sz w:val="36"/>
          <w:szCs w:val="36"/>
        </w:rPr>
      </w:pPr>
      <w:r w:rsidRPr="00671CDB">
        <w:rPr>
          <w:rFonts w:ascii="Traditional Arabic" w:hAnsi="Traditional Arabic" w:cs="Traditional Arabic" w:hint="cs"/>
          <w:sz w:val="36"/>
          <w:szCs w:val="36"/>
          <w:rtl/>
        </w:rPr>
        <w:t xml:space="preserve">    قال الغزالي:"</w:t>
      </w:r>
      <w:r w:rsidRPr="00671CDB">
        <w:rPr>
          <w:sz w:val="36"/>
          <w:szCs w:val="36"/>
          <w:rtl/>
        </w:rPr>
        <w:t xml:space="preserve"> </w:t>
      </w:r>
      <w:r w:rsidRPr="00671CDB">
        <w:rPr>
          <w:rFonts w:ascii="Traditional Arabic" w:hAnsi="Traditional Arabic" w:cs="Traditional Arabic"/>
          <w:sz w:val="36"/>
          <w:szCs w:val="36"/>
          <w:rtl/>
        </w:rPr>
        <w:t>والدليل على استحالته إن الأمر طلب يتعلق بمطلوب كالعلم يتعلق بمعلوم والجمع بين القيام والقعود غير معقول فلا يكون مطلوبا ويستحيل طلبه إذ لا يعقل في نفسه</w:t>
      </w:r>
      <w:r w:rsidRPr="00671CDB">
        <w:rPr>
          <w:rFonts w:ascii="Traditional Arabic" w:hAnsi="Traditional Arabic" w:cs="Traditional Arabic" w:hint="cs"/>
          <w:sz w:val="36"/>
          <w:szCs w:val="36"/>
          <w:rtl/>
        </w:rPr>
        <w:t>.</w:t>
      </w:r>
    </w:p>
    <w:p w:rsidR="00602F29" w:rsidRPr="00671CDB" w:rsidRDefault="00602F29" w:rsidP="00602F29">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 xml:space="preserve">واختيارنا </w:t>
      </w:r>
      <w:r w:rsidRPr="00671CDB">
        <w:rPr>
          <w:rFonts w:ascii="Traditional Arabic" w:hAnsi="Traditional Arabic" w:cs="Traditional Arabic" w:hint="cs"/>
          <w:sz w:val="36"/>
          <w:szCs w:val="36"/>
          <w:rtl/>
        </w:rPr>
        <w:t>أ</w:t>
      </w:r>
      <w:r w:rsidRPr="00671CDB">
        <w:rPr>
          <w:rFonts w:ascii="Traditional Arabic" w:hAnsi="Traditional Arabic" w:cs="Traditional Arabic"/>
          <w:sz w:val="36"/>
          <w:szCs w:val="36"/>
          <w:rtl/>
        </w:rPr>
        <w:t xml:space="preserve">ن للقدرة الحادثة تعلقا </w:t>
      </w:r>
      <w:proofErr w:type="spellStart"/>
      <w:r w:rsidRPr="00671CDB">
        <w:rPr>
          <w:rFonts w:ascii="Traditional Arabic" w:hAnsi="Traditional Arabic" w:cs="Traditional Arabic"/>
          <w:sz w:val="36"/>
          <w:szCs w:val="36"/>
          <w:rtl/>
        </w:rPr>
        <w:t>بالمقدو</w:t>
      </w:r>
      <w:proofErr w:type="spellEnd"/>
      <w:r w:rsidRPr="00671CDB">
        <w:rPr>
          <w:rFonts w:ascii="Traditional Arabic" w:hAnsi="Traditional Arabic" w:cs="Traditional Arabic" w:hint="cs"/>
          <w:sz w:val="36"/>
          <w:szCs w:val="36"/>
          <w:rtl/>
          <w:lang w:bidi="ar-DZ"/>
        </w:rPr>
        <w:t>ر</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والاستطاعة وإن</w:t>
      </w: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قارنت الفعل</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فلم يكلف في الشرع إلا ما يتمكن منه قطعا</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وذلك بين</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في مصادر الشرع وموارده ووعده ووعيده إذ لا معنى لتخصيص فعل فاعل عن آخر بعقاب أو ثواب مع تساوي الكل في العجز عنه وهذا ش</w:t>
      </w:r>
      <w:r w:rsidRPr="00671CDB">
        <w:rPr>
          <w:rFonts w:ascii="Traditional Arabic" w:hAnsi="Traditional Arabic" w:cs="Traditional Arabic" w:hint="cs"/>
          <w:sz w:val="36"/>
          <w:szCs w:val="36"/>
          <w:rtl/>
        </w:rPr>
        <w:t>يء</w:t>
      </w:r>
      <w:r w:rsidRPr="00671CDB">
        <w:rPr>
          <w:rFonts w:ascii="Traditional Arabic" w:hAnsi="Traditional Arabic" w:cs="Traditional Arabic"/>
          <w:sz w:val="36"/>
          <w:szCs w:val="36"/>
          <w:rtl/>
        </w:rPr>
        <w:t xml:space="preserve"> مستحيل وحكم ال</w:t>
      </w:r>
      <w:r w:rsidRPr="00671CDB">
        <w:rPr>
          <w:rFonts w:ascii="Traditional Arabic" w:hAnsi="Traditional Arabic" w:cs="Traditional Arabic" w:hint="cs"/>
          <w:sz w:val="36"/>
          <w:szCs w:val="36"/>
          <w:rtl/>
        </w:rPr>
        <w:t>ا</w:t>
      </w:r>
      <w:r w:rsidRPr="00671CDB">
        <w:rPr>
          <w:rFonts w:ascii="Traditional Arabic" w:hAnsi="Traditional Arabic" w:cs="Traditional Arabic"/>
          <w:sz w:val="36"/>
          <w:szCs w:val="36"/>
          <w:rtl/>
        </w:rPr>
        <w:t xml:space="preserve">ستطاعة يذكر في الكلام وأما أبو جهل فقد كلف أن يقول لا إله إلا الله محمد رسول الله وكان قادرا عليه ثم </w:t>
      </w:r>
      <w:r w:rsidRPr="00671CDB">
        <w:rPr>
          <w:rFonts w:ascii="Traditional Arabic" w:hAnsi="Traditional Arabic" w:cs="Traditional Arabic" w:hint="cs"/>
          <w:sz w:val="36"/>
          <w:szCs w:val="36"/>
          <w:rtl/>
        </w:rPr>
        <w:t xml:space="preserve">علم </w:t>
      </w:r>
      <w:r w:rsidRPr="00671CDB">
        <w:rPr>
          <w:rFonts w:ascii="Traditional Arabic" w:hAnsi="Traditional Arabic" w:cs="Traditional Arabic"/>
          <w:sz w:val="36"/>
          <w:szCs w:val="36"/>
          <w:rtl/>
        </w:rPr>
        <w:t>الرب سبحانه أنه سيمتنع عنادا مع القدرة فأخبر الرسول به كما علمه</w:t>
      </w:r>
      <w:r w:rsidRPr="00671CDB">
        <w:rPr>
          <w:rFonts w:ascii="Traditional Arabic" w:hAnsi="Traditional Arabic" w:cs="Traditional Arabic" w:hint="cs"/>
          <w:sz w:val="36"/>
          <w:szCs w:val="36"/>
          <w:rtl/>
        </w:rPr>
        <w:t>".</w:t>
      </w:r>
    </w:p>
    <w:p w:rsidR="00602F29" w:rsidRPr="00671CDB" w:rsidRDefault="00602F29" w:rsidP="00602F29">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وقد تردد كثير منهم بسبب مخالفة ظواهر النصوص وقواعد الشرع فمنهم من صرح بان المراد الجواز العقلي دون الوقوع الشرعي كما هو شأن ابن العربي الذي تمسك في بعض كتبه بقوله تعالى: (</w:t>
      </w:r>
      <w:r w:rsidRPr="00671CDB">
        <w:rPr>
          <w:rFonts w:ascii="Traditional Arabic" w:hAnsi="Traditional Arabic" w:cs="Traditional Arabic"/>
          <w:sz w:val="36"/>
          <w:szCs w:val="36"/>
          <w:rtl/>
        </w:rPr>
        <w:t>رَبَّنَا وَلَا تُحَمِّلْنَا مَا لَا طَاقَةَ لَنَا بِهِ</w:t>
      </w:r>
      <w:r w:rsidRPr="00671CDB">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Pr>
          <w:rFonts w:ascii="Traditional Arabic" w:hAnsi="Traditional Arabic" w:cs="Traditional Arabic"/>
          <w:sz w:val="36"/>
          <w:szCs w:val="36"/>
          <w:rtl/>
        </w:rPr>
        <w:t>البقرة: 286</w:t>
      </w:r>
      <w:r>
        <w:rPr>
          <w:rFonts w:ascii="Traditional Arabic" w:hAnsi="Traditional Arabic" w:cs="Traditional Arabic" w:hint="cs"/>
          <w:sz w:val="36"/>
          <w:szCs w:val="36"/>
          <w:rtl/>
        </w:rPr>
        <w:t>)</w:t>
      </w:r>
      <w:r w:rsidRPr="00671CDB">
        <w:rPr>
          <w:rFonts w:ascii="Traditional Arabic" w:hAnsi="Traditional Arabic" w:cs="Traditional Arabic" w:hint="cs"/>
          <w:sz w:val="36"/>
          <w:szCs w:val="36"/>
          <w:rtl/>
        </w:rPr>
        <w:t xml:space="preserve">. </w:t>
      </w:r>
      <w:proofErr w:type="gramStart"/>
      <w:r w:rsidRPr="00671CDB">
        <w:rPr>
          <w:rFonts w:ascii="Traditional Arabic" w:hAnsi="Traditional Arabic" w:cs="Traditional Arabic" w:hint="cs"/>
          <w:sz w:val="36"/>
          <w:szCs w:val="36"/>
          <w:rtl/>
        </w:rPr>
        <w:t>والرأي</w:t>
      </w:r>
      <w:proofErr w:type="gramEnd"/>
      <w:r w:rsidRPr="00671CDB">
        <w:rPr>
          <w:rFonts w:ascii="Traditional Arabic" w:hAnsi="Traditional Arabic" w:cs="Traditional Arabic" w:hint="cs"/>
          <w:sz w:val="36"/>
          <w:szCs w:val="36"/>
          <w:rtl/>
        </w:rPr>
        <w:t xml:space="preserve"> الصحيح في هذه المسالة يعلم من دلالة النصوص الشرعية ومن البناء على المسألة السابقة، فلا تكليف بما لا يطاق وهذا من فضل ربنا عز وجل.</w:t>
      </w:r>
    </w:p>
    <w:p w:rsidR="00602F29" w:rsidRPr="00671CDB" w:rsidRDefault="00602F29" w:rsidP="00602F29">
      <w:pPr>
        <w:pStyle w:val="Corpsdetexte2"/>
        <w:spacing w:after="0" w:line="240" w:lineRule="auto"/>
        <w:jc w:val="both"/>
        <w:rPr>
          <w:rFonts w:ascii="Traditional Arabic" w:hAnsi="Traditional Arabic"/>
          <w:sz w:val="36"/>
          <w:szCs w:val="36"/>
          <w:rtl/>
        </w:rPr>
      </w:pPr>
      <w:r w:rsidRPr="00671CDB">
        <w:rPr>
          <w:rFonts w:ascii="Traditional Arabic" w:hAnsi="Traditional Arabic"/>
          <w:sz w:val="36"/>
          <w:szCs w:val="36"/>
          <w:rtl/>
        </w:rPr>
        <w:t xml:space="preserve">    وقد أصبحت مسألةُ التكليف بما لا يطاق أصلا لمسائل أصولية كثيرة، </w:t>
      </w:r>
      <w:proofErr w:type="spellStart"/>
      <w:r w:rsidRPr="00671CDB">
        <w:rPr>
          <w:rFonts w:ascii="Traditional Arabic" w:hAnsi="Traditional Arabic"/>
          <w:sz w:val="36"/>
          <w:szCs w:val="36"/>
          <w:rtl/>
        </w:rPr>
        <w:t>كتجويز</w:t>
      </w:r>
      <w:proofErr w:type="spellEnd"/>
      <w:r w:rsidRPr="00671CDB">
        <w:rPr>
          <w:rFonts w:ascii="Traditional Arabic" w:hAnsi="Traditional Arabic"/>
          <w:sz w:val="36"/>
          <w:szCs w:val="36"/>
          <w:rtl/>
        </w:rPr>
        <w:t xml:space="preserve"> أن يكون في القرآن ما ليس له معنى، واستمرار الإجمال في القرآن بعد وفاة النبي </w:t>
      </w:r>
      <w:r w:rsidRPr="00671CDB">
        <w:rPr>
          <w:rFonts w:ascii="Traditional Arabic" w:hAnsi="Traditional Arabic"/>
          <w:sz w:val="36"/>
          <w:szCs w:val="36"/>
        </w:rPr>
        <w:sym w:font="AGA Arabesque" w:char="F065"/>
      </w:r>
      <w:r w:rsidRPr="00671CDB">
        <w:rPr>
          <w:rFonts w:ascii="Traditional Arabic" w:hAnsi="Traditional Arabic"/>
          <w:sz w:val="36"/>
          <w:szCs w:val="36"/>
          <w:rtl/>
        </w:rPr>
        <w:t xml:space="preserve">، وجواز تأخير البيان عن وقت </w:t>
      </w:r>
      <w:r w:rsidRPr="00671CDB">
        <w:rPr>
          <w:rFonts w:ascii="Traditional Arabic" w:hAnsi="Traditional Arabic"/>
          <w:sz w:val="36"/>
          <w:szCs w:val="36"/>
          <w:rtl/>
        </w:rPr>
        <w:lastRenderedPageBreak/>
        <w:t>الحاجة، وتجويز النسخ قبل وقت الامتثال، ومنهم من احتج به على التصويب في الاعتقادات.</w:t>
      </w:r>
      <w:r w:rsidRPr="00671CDB">
        <w:rPr>
          <w:rFonts w:ascii="Traditional Arabic" w:hAnsi="Traditional Arabic" w:hint="cs"/>
          <w:sz w:val="36"/>
          <w:szCs w:val="36"/>
          <w:rtl/>
        </w:rPr>
        <w:t xml:space="preserve"> ومنها مسألة استلزام الأمر إرادة المأمور الآتية </w:t>
      </w:r>
      <w:proofErr w:type="gramStart"/>
      <w:r w:rsidRPr="00671CDB">
        <w:rPr>
          <w:rFonts w:ascii="Traditional Arabic" w:hAnsi="Traditional Arabic" w:hint="cs"/>
          <w:sz w:val="36"/>
          <w:szCs w:val="36"/>
          <w:rtl/>
        </w:rPr>
        <w:t>والتي</w:t>
      </w:r>
      <w:proofErr w:type="gramEnd"/>
      <w:r w:rsidRPr="00671CDB">
        <w:rPr>
          <w:rFonts w:ascii="Traditional Arabic" w:hAnsi="Traditional Arabic" w:hint="cs"/>
          <w:sz w:val="36"/>
          <w:szCs w:val="36"/>
          <w:rtl/>
        </w:rPr>
        <w:t xml:space="preserve"> تليها.</w:t>
      </w:r>
    </w:p>
    <w:p w:rsidR="00602F29" w:rsidRPr="00671CDB" w:rsidRDefault="00602F29" w:rsidP="00602F29">
      <w:pPr>
        <w:pStyle w:val="Titre"/>
        <w:jc w:val="both"/>
        <w:rPr>
          <w:rFonts w:asciiTheme="majorBidi" w:hAnsiTheme="majorBidi" w:cstheme="majorBidi"/>
          <w:b/>
          <w:bCs/>
          <w:sz w:val="36"/>
          <w:szCs w:val="36"/>
          <w:rtl/>
        </w:rPr>
      </w:pPr>
      <w:r w:rsidRPr="00671CDB">
        <w:rPr>
          <w:rFonts w:asciiTheme="majorBidi" w:hAnsiTheme="majorBidi" w:cstheme="majorBidi"/>
          <w:b/>
          <w:bCs/>
          <w:sz w:val="36"/>
          <w:szCs w:val="36"/>
          <w:rtl/>
        </w:rPr>
        <w:t xml:space="preserve">المطلب </w:t>
      </w:r>
      <w:proofErr w:type="gramStart"/>
      <w:r w:rsidRPr="00671CDB">
        <w:rPr>
          <w:rFonts w:asciiTheme="majorBidi" w:hAnsiTheme="majorBidi" w:cstheme="majorBidi"/>
          <w:b/>
          <w:bCs/>
          <w:sz w:val="36"/>
          <w:szCs w:val="36"/>
          <w:rtl/>
        </w:rPr>
        <w:t>الثالث :</w:t>
      </w:r>
      <w:proofErr w:type="gramEnd"/>
      <w:r w:rsidRPr="00671CDB">
        <w:rPr>
          <w:rFonts w:asciiTheme="majorBidi" w:hAnsiTheme="majorBidi" w:cstheme="majorBidi"/>
          <w:b/>
          <w:bCs/>
          <w:sz w:val="36"/>
          <w:szCs w:val="36"/>
          <w:rtl/>
        </w:rPr>
        <w:t xml:space="preserve"> اعتبار إرادة الآمر في الأمر </w:t>
      </w:r>
    </w:p>
    <w:p w:rsidR="00602F29" w:rsidRPr="00671CDB" w:rsidRDefault="00602F29" w:rsidP="00602F29">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sz w:val="36"/>
          <w:szCs w:val="36"/>
          <w:rtl/>
        </w:rPr>
        <w:t xml:space="preserve">   من المسائل الكلامية التي خاض فيها الأصوليون مسألة استلزام الأمر لإرادة المأمور أو اشتراط إرادة الآمر في الأمر، فقال الأشاعرة لا تلازم ولا اشتراط، لأن الله يأمر عندهم بما لا يريد كالكفر والفسوق الواقع من الكفار والفساق، </w:t>
      </w:r>
      <w:proofErr w:type="spellStart"/>
      <w:r w:rsidRPr="00671CDB">
        <w:rPr>
          <w:rFonts w:ascii="Traditional Arabic" w:hAnsi="Traditional Arabic" w:cs="Traditional Arabic"/>
          <w:sz w:val="36"/>
          <w:szCs w:val="36"/>
          <w:rtl/>
        </w:rPr>
        <w:t>ووافقهم</w:t>
      </w:r>
      <w:proofErr w:type="spellEnd"/>
      <w:r w:rsidRPr="00671CDB">
        <w:rPr>
          <w:rFonts w:ascii="Traditional Arabic" w:hAnsi="Traditional Arabic" w:cs="Traditional Arabic"/>
          <w:sz w:val="36"/>
          <w:szCs w:val="36"/>
          <w:rtl/>
        </w:rPr>
        <w:t xml:space="preserve"> </w:t>
      </w:r>
      <w:proofErr w:type="spellStart"/>
      <w:r w:rsidRPr="00671CDB">
        <w:rPr>
          <w:rFonts w:ascii="Traditional Arabic" w:hAnsi="Traditional Arabic" w:cs="Traditional Arabic"/>
          <w:sz w:val="36"/>
          <w:szCs w:val="36"/>
          <w:rtl/>
        </w:rPr>
        <w:t>الماتريدية</w:t>
      </w:r>
      <w:proofErr w:type="spellEnd"/>
      <w:r w:rsidRPr="00671CDB">
        <w:rPr>
          <w:rFonts w:ascii="Traditional Arabic" w:hAnsi="Traditional Arabic" w:cs="Traditional Arabic"/>
          <w:sz w:val="36"/>
          <w:szCs w:val="36"/>
          <w:rtl/>
        </w:rPr>
        <w:t xml:space="preserve"> وبعض الفقهاء كأبي يعلى والشيرازي وابن قدامة، وقالت المعتزلة: بالتلازم وأن الأمر إنما يكون أمرا بالإرادة، ولو لم يكن مرادا لاستحال وقوعه، فيلزم التكليف بالمحال.</w:t>
      </w: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lang w:bidi="ar-DZ"/>
        </w:rPr>
        <w:t>وكلا الرأيين خطأ وسبب خطأ الطائفين عدم التفريق بين الإرادة الكونية والإرادة الشرعية، حيث جعل المعتزلة الإرادة مرتبطة بالمحبة والرضا وسلم لهم الأشاعرة ذلك، في حين أن الإرادة الشرعية هي وحدها المرتبطة بالمحبة والرضا، فالله تعالى أراد من الناس جميعا الإيمان إرادة شرعية، وأراد أن يكون فيهم المؤمن والكافر إرادة كونية.</w:t>
      </w:r>
    </w:p>
    <w:p w:rsidR="00602F29" w:rsidRPr="00671CDB" w:rsidRDefault="00602F29" w:rsidP="00602F29">
      <w:pPr>
        <w:bidi/>
        <w:spacing w:after="0" w:line="240" w:lineRule="auto"/>
        <w:jc w:val="both"/>
        <w:rPr>
          <w:rFonts w:cs="Traditional Arabic"/>
          <w:sz w:val="36"/>
          <w:szCs w:val="36"/>
          <w:rtl/>
          <w:lang w:bidi="ar-DZ"/>
        </w:rPr>
      </w:pPr>
      <w:r w:rsidRPr="00671CDB">
        <w:rPr>
          <w:rFonts w:cs="Traditional Arabic" w:hint="cs"/>
          <w:sz w:val="36"/>
          <w:szCs w:val="36"/>
          <w:rtl/>
          <w:lang w:bidi="ar-DZ"/>
        </w:rPr>
        <w:t xml:space="preserve">   </w:t>
      </w:r>
      <w:proofErr w:type="gramStart"/>
      <w:r w:rsidRPr="00671CDB">
        <w:rPr>
          <w:rFonts w:cs="Traditional Arabic" w:hint="cs"/>
          <w:sz w:val="36"/>
          <w:szCs w:val="36"/>
          <w:rtl/>
          <w:lang w:bidi="ar-DZ"/>
        </w:rPr>
        <w:t>فقوله</w:t>
      </w:r>
      <w:proofErr w:type="gramEnd"/>
      <w:r w:rsidRPr="00671CDB">
        <w:rPr>
          <w:rFonts w:cs="Traditional Arabic" w:hint="cs"/>
          <w:sz w:val="36"/>
          <w:szCs w:val="36"/>
          <w:rtl/>
          <w:lang w:bidi="ar-DZ"/>
        </w:rPr>
        <w:t xml:space="preserve"> تعالى: </w:t>
      </w:r>
      <w:r w:rsidRPr="00671CDB">
        <w:rPr>
          <w:rFonts w:cs="Traditional Arabic" w:hint="cs"/>
          <w:b/>
          <w:bCs/>
          <w:sz w:val="36"/>
          <w:szCs w:val="36"/>
          <w:rtl/>
          <w:lang w:bidi="ar-DZ"/>
        </w:rPr>
        <w:t>(</w:t>
      </w:r>
      <w:r w:rsidRPr="00671CDB">
        <w:rPr>
          <w:rStyle w:val="lev"/>
          <w:rFonts w:cs="Traditional Arabic"/>
          <w:sz w:val="36"/>
          <w:szCs w:val="36"/>
          <w:rtl/>
        </w:rPr>
        <w:t xml:space="preserve">إِن تَكْفُرُوا فَإِنَّ اللَّهَ غَنِيٌّ عَنكُمْ </w:t>
      </w:r>
      <w:r w:rsidRPr="00671CDB">
        <w:rPr>
          <w:rStyle w:val="lev"/>
          <w:sz w:val="36"/>
          <w:szCs w:val="36"/>
          <w:rtl/>
        </w:rPr>
        <w:t>ۖ</w:t>
      </w:r>
      <w:r w:rsidRPr="00671CDB">
        <w:rPr>
          <w:rStyle w:val="lev"/>
          <w:rFonts w:cs="Traditional Arabic"/>
          <w:sz w:val="36"/>
          <w:szCs w:val="36"/>
          <w:rtl/>
        </w:rPr>
        <w:t xml:space="preserve"> وَلَا </w:t>
      </w:r>
      <w:proofErr w:type="spellStart"/>
      <w:r w:rsidRPr="00671CDB">
        <w:rPr>
          <w:rStyle w:val="lev"/>
          <w:rFonts w:cs="Traditional Arabic"/>
          <w:sz w:val="36"/>
          <w:szCs w:val="36"/>
          <w:rtl/>
        </w:rPr>
        <w:t>يَرْضَىٰ</w:t>
      </w:r>
      <w:proofErr w:type="spellEnd"/>
      <w:r w:rsidRPr="00671CDB">
        <w:rPr>
          <w:rStyle w:val="lev"/>
          <w:rFonts w:cs="Traditional Arabic"/>
          <w:sz w:val="36"/>
          <w:szCs w:val="36"/>
          <w:rtl/>
        </w:rPr>
        <w:t xml:space="preserve"> لِعِبَادِهِ الْكُفْرَ </w:t>
      </w:r>
      <w:r w:rsidRPr="00671CDB">
        <w:rPr>
          <w:rStyle w:val="lev"/>
          <w:sz w:val="36"/>
          <w:szCs w:val="36"/>
          <w:rtl/>
        </w:rPr>
        <w:t>ۖ</w:t>
      </w:r>
      <w:r w:rsidRPr="00671CDB">
        <w:rPr>
          <w:rStyle w:val="lev"/>
          <w:rFonts w:cs="Traditional Arabic"/>
          <w:sz w:val="36"/>
          <w:szCs w:val="36"/>
          <w:rtl/>
        </w:rPr>
        <w:t xml:space="preserve"> وَإِن تَشْكُرُوا يَرْضَهُ لَكُمْ </w:t>
      </w:r>
      <w:r w:rsidRPr="00671CDB">
        <w:rPr>
          <w:rStyle w:val="lev"/>
          <w:sz w:val="36"/>
          <w:szCs w:val="36"/>
          <w:rtl/>
        </w:rPr>
        <w:t>ۗ</w:t>
      </w:r>
      <w:r w:rsidRPr="00671CDB">
        <w:rPr>
          <w:rFonts w:cs="Traditional Arabic" w:hint="cs"/>
          <w:b/>
          <w:bCs/>
          <w:sz w:val="36"/>
          <w:szCs w:val="36"/>
          <w:rtl/>
          <w:lang w:bidi="ar-DZ"/>
        </w:rPr>
        <w:t>)</w:t>
      </w:r>
      <w:r w:rsidRPr="00671CDB">
        <w:rPr>
          <w:rFonts w:cs="Traditional Arabic" w:hint="cs"/>
          <w:sz w:val="36"/>
          <w:szCs w:val="36"/>
          <w:rtl/>
          <w:lang w:bidi="ar-DZ"/>
        </w:rPr>
        <w:t xml:space="preserve"> (الزمر:7) من الإرادة الشرعية. وقوله تعالى: (</w:t>
      </w:r>
      <w:r w:rsidRPr="00671CDB">
        <w:rPr>
          <w:rFonts w:cs="Traditional Arabic"/>
          <w:sz w:val="36"/>
          <w:szCs w:val="36"/>
          <w:rtl/>
        </w:rPr>
        <w:t>وَلَوْ شَاءَ</w:t>
      </w:r>
      <w:r w:rsidRPr="00671CDB">
        <w:rPr>
          <w:rFonts w:cs="Traditional Arabic" w:hint="cs"/>
          <w:sz w:val="36"/>
          <w:szCs w:val="36"/>
          <w:rtl/>
          <w:lang w:bidi="ar-DZ"/>
        </w:rPr>
        <w:t xml:space="preserve"> </w:t>
      </w:r>
      <w:r w:rsidRPr="00671CDB">
        <w:rPr>
          <w:rFonts w:cs="Traditional Arabic"/>
          <w:sz w:val="36"/>
          <w:szCs w:val="36"/>
          <w:rtl/>
        </w:rPr>
        <w:t xml:space="preserve">رَبُّكَ لَآمَنَ مَنْ فِي الْأَرْضِ كُلُّهُمْ جَمِيعًا </w:t>
      </w:r>
      <w:r w:rsidRPr="00671CDB">
        <w:rPr>
          <w:sz w:val="36"/>
          <w:szCs w:val="36"/>
          <w:rtl/>
        </w:rPr>
        <w:t>ۚ</w:t>
      </w:r>
      <w:r w:rsidRPr="00671CDB">
        <w:rPr>
          <w:rFonts w:cs="Traditional Arabic"/>
          <w:sz w:val="36"/>
          <w:szCs w:val="36"/>
          <w:rtl/>
        </w:rPr>
        <w:t xml:space="preserve"> أَفَأَنْتَ تُكْرِهُ النَّاسَ </w:t>
      </w:r>
      <w:proofErr w:type="spellStart"/>
      <w:r w:rsidRPr="00671CDB">
        <w:rPr>
          <w:rFonts w:cs="Traditional Arabic"/>
          <w:sz w:val="36"/>
          <w:szCs w:val="36"/>
          <w:rtl/>
        </w:rPr>
        <w:t>حَتَّىٰ</w:t>
      </w:r>
      <w:proofErr w:type="spellEnd"/>
      <w:r w:rsidRPr="00671CDB">
        <w:rPr>
          <w:rFonts w:cs="Traditional Arabic"/>
          <w:sz w:val="36"/>
          <w:szCs w:val="36"/>
          <w:rtl/>
        </w:rPr>
        <w:t xml:space="preserve"> يَكُونُوا مُؤْمِنِينَ</w:t>
      </w:r>
      <w:r w:rsidRPr="00671CDB">
        <w:rPr>
          <w:rFonts w:cs="Traditional Arabic" w:hint="cs"/>
          <w:sz w:val="36"/>
          <w:szCs w:val="36"/>
          <w:rtl/>
          <w:lang w:bidi="ar-DZ"/>
        </w:rPr>
        <w:t>) (يونس: 99) من الإرادة الكونية.</w:t>
      </w:r>
    </w:p>
    <w:p w:rsidR="00602F29" w:rsidRPr="00671CDB" w:rsidRDefault="00602F29" w:rsidP="00602F29">
      <w:pPr>
        <w:bidi/>
        <w:spacing w:after="0" w:line="240" w:lineRule="auto"/>
        <w:jc w:val="both"/>
        <w:rPr>
          <w:rFonts w:cs="Traditional Arabic"/>
          <w:sz w:val="36"/>
          <w:szCs w:val="36"/>
          <w:rtl/>
          <w:lang w:bidi="ar-DZ"/>
        </w:rPr>
      </w:pPr>
      <w:r w:rsidRPr="00671CDB">
        <w:rPr>
          <w:rFonts w:cs="Traditional Arabic" w:hint="cs"/>
          <w:sz w:val="36"/>
          <w:szCs w:val="36"/>
          <w:rtl/>
          <w:lang w:bidi="ar-DZ"/>
        </w:rPr>
        <w:t xml:space="preserve">   ورأي الأشاعرة باطل لأنهم يقولون بأن الله أمر الكفار بالإيمان وهو لا يريد منهم الإيمان بل يريد لهم الكفر بأن أحب أن يكونوا كفارا وهذا غلط، وتأويلهم لقوله تعالى: (</w:t>
      </w:r>
      <w:r w:rsidRPr="00671CDB">
        <w:rPr>
          <w:rStyle w:val="lev"/>
          <w:rFonts w:cs="Traditional Arabic"/>
          <w:sz w:val="36"/>
          <w:szCs w:val="36"/>
          <w:rtl/>
        </w:rPr>
        <w:t xml:space="preserve">وَلَا </w:t>
      </w:r>
      <w:proofErr w:type="spellStart"/>
      <w:r w:rsidRPr="00671CDB">
        <w:rPr>
          <w:rStyle w:val="lev"/>
          <w:rFonts w:cs="Traditional Arabic"/>
          <w:sz w:val="36"/>
          <w:szCs w:val="36"/>
          <w:rtl/>
        </w:rPr>
        <w:t>يَرْضَىٰ</w:t>
      </w:r>
      <w:proofErr w:type="spellEnd"/>
      <w:r w:rsidRPr="00671CDB">
        <w:rPr>
          <w:rStyle w:val="lev"/>
          <w:rFonts w:cs="Traditional Arabic"/>
          <w:sz w:val="36"/>
          <w:szCs w:val="36"/>
          <w:rtl/>
        </w:rPr>
        <w:t xml:space="preserve"> لِعِبَادِهِ الْكُفْرَ</w:t>
      </w:r>
      <w:r w:rsidRPr="00671CDB">
        <w:rPr>
          <w:rFonts w:cs="Traditional Arabic" w:hint="cs"/>
          <w:sz w:val="36"/>
          <w:szCs w:val="36"/>
          <w:rtl/>
          <w:lang w:bidi="ar-DZ"/>
        </w:rPr>
        <w:t>) بأنه خاص بالمؤمنين غير مقبول.</w:t>
      </w:r>
    </w:p>
    <w:p w:rsidR="00602F29" w:rsidRPr="00671CDB" w:rsidRDefault="00602F29" w:rsidP="00602F29">
      <w:pPr>
        <w:bidi/>
        <w:spacing w:after="0" w:line="240" w:lineRule="auto"/>
        <w:jc w:val="both"/>
        <w:rPr>
          <w:rFonts w:cs="Traditional Arabic"/>
          <w:sz w:val="36"/>
          <w:szCs w:val="36"/>
          <w:rtl/>
          <w:lang w:bidi="ar-DZ"/>
        </w:rPr>
      </w:pPr>
      <w:r w:rsidRPr="00671CDB">
        <w:rPr>
          <w:rFonts w:cs="Traditional Arabic" w:hint="cs"/>
          <w:sz w:val="36"/>
          <w:szCs w:val="36"/>
          <w:rtl/>
          <w:lang w:bidi="ar-DZ"/>
        </w:rPr>
        <w:t xml:space="preserve">  ورأي المعتزلة أيضا باطل لأنه يستلزم أن كفر من كفر من الناس كان دون إرادته، لأن الله لا يريد إلا الخير فكل شر في الدنيا حسبهم لم يرده الله ولم يخلقه وإنما خلقه الناس وهو أيضا باطل، فالله تعالى خالق كل شيء ولا يكون في ملكه إلا ما يريد.</w:t>
      </w:r>
    </w:p>
    <w:p w:rsidR="00602F29" w:rsidRPr="00671CDB" w:rsidRDefault="00602F29" w:rsidP="00602F29">
      <w:pPr>
        <w:bidi/>
        <w:spacing w:after="0" w:line="240" w:lineRule="auto"/>
        <w:jc w:val="both"/>
        <w:rPr>
          <w:rFonts w:cs="Traditional Arabic"/>
          <w:sz w:val="36"/>
          <w:szCs w:val="36"/>
          <w:rtl/>
          <w:lang w:bidi="ar-DZ"/>
        </w:rPr>
      </w:pPr>
      <w:r w:rsidRPr="00671CDB">
        <w:rPr>
          <w:rFonts w:cs="Traditional Arabic" w:hint="cs"/>
          <w:sz w:val="36"/>
          <w:szCs w:val="36"/>
          <w:rtl/>
          <w:lang w:bidi="ar-DZ"/>
        </w:rPr>
        <w:t xml:space="preserve">    والصواب في هذا أن يقال أمر الله تعالى مستلزم إرادته الشرعية الدينية المقارنة للرضى والمحبة لا لإرادته الكونية القدرية الخلقية الشاملة لكل الحوادث، وهذا الذي تجتمع به الأدلة ويحصل به تنزيه الله تعالى دون تأويل للنصوص الشرعية بلا مسوغ.</w:t>
      </w:r>
    </w:p>
    <w:p w:rsidR="00602F29" w:rsidRDefault="00602F29" w:rsidP="00602F29">
      <w:pPr>
        <w:bidi/>
        <w:spacing w:after="0" w:line="240" w:lineRule="auto"/>
        <w:jc w:val="both"/>
        <w:rPr>
          <w:rFonts w:ascii="Traditional Arabic" w:hAnsi="Traditional Arabic" w:cs="Traditional Arabic"/>
          <w:sz w:val="36"/>
          <w:szCs w:val="36"/>
          <w:rtl/>
        </w:rPr>
      </w:pPr>
      <w:r w:rsidRPr="00671CDB">
        <w:rPr>
          <w:rFonts w:cs="Traditional Arabic" w:hint="cs"/>
          <w:sz w:val="36"/>
          <w:szCs w:val="36"/>
          <w:rtl/>
          <w:lang w:bidi="ar-DZ"/>
        </w:rPr>
        <w:t xml:space="preserve">   هذا مذهب السلف وجمهور فقهاء أهل السنة، وقد ذكر الجويني أن أبا الحسن الأشعري أول من خالف السلف في هذه المسألة ولم يفرق بين الإرادتين، وقد اختار هذا الرأي الزركشي في سلاسل الذهب. واختاره غير واحد من المحققي</w:t>
      </w:r>
      <w:r>
        <w:rPr>
          <w:rFonts w:cs="Traditional Arabic" w:hint="cs"/>
          <w:sz w:val="36"/>
          <w:szCs w:val="36"/>
          <w:rtl/>
          <w:lang w:bidi="ar-DZ"/>
        </w:rPr>
        <w:t>ن المتأخرين كابن تيمية والشاطبي</w:t>
      </w:r>
      <w:r w:rsidRPr="00671CDB">
        <w:rPr>
          <w:rFonts w:cs="Traditional Arabic" w:hint="cs"/>
          <w:sz w:val="36"/>
          <w:szCs w:val="36"/>
          <w:rtl/>
          <w:lang w:bidi="ar-DZ"/>
        </w:rPr>
        <w:t xml:space="preserve">. </w:t>
      </w:r>
      <w:r w:rsidRPr="00671CDB">
        <w:rPr>
          <w:rFonts w:ascii="Traditional Arabic" w:hAnsi="Traditional Arabic" w:cs="Traditional Arabic"/>
          <w:sz w:val="36"/>
          <w:szCs w:val="36"/>
          <w:rtl/>
        </w:rPr>
        <w:t xml:space="preserve">قال الشنقيطي: «اعلم أن </w:t>
      </w:r>
      <w:r w:rsidRPr="00671CDB">
        <w:rPr>
          <w:rFonts w:ascii="Traditional Arabic" w:hAnsi="Traditional Arabic" w:cs="Traditional Arabic"/>
          <w:sz w:val="36"/>
          <w:szCs w:val="36"/>
          <w:rtl/>
        </w:rPr>
        <w:lastRenderedPageBreak/>
        <w:t xml:space="preserve">التحقيق في هذا المبحث أن الإرادة نوعان : إرادة شرعية دينية وإرادة كونية قدرية، والأمر الشرعي إنما تلازمه الإرادة الشرعية الدينية، ولا تلازم بينه وبين الإرادة الكونية القدرية ، فالله أمر أبا جهل بالإيمان وأراده منه شرعا ودينا، ولم يرده منه كونا وقدرا، إذ لو أراده لوقع، </w:t>
      </w:r>
      <w:r w:rsidRPr="00671CDB">
        <w:rPr>
          <w:rFonts w:ascii="Traditional Arabic" w:hAnsi="Traditional Arabic" w:cs="Traditional Arabic"/>
          <w:sz w:val="36"/>
          <w:szCs w:val="36"/>
        </w:rPr>
        <w:sym w:font="AGA Arabesque" w:char="F05D"/>
      </w:r>
      <w:r w:rsidRPr="00671CDB">
        <w:rPr>
          <w:rFonts w:ascii="Traditional Arabic" w:hAnsi="Traditional Arabic" w:cs="Traditional Arabic"/>
          <w:sz w:val="36"/>
          <w:szCs w:val="36"/>
          <w:rtl/>
        </w:rPr>
        <w:t xml:space="preserve"> وَلَوْ شَاءَ اللَّهُ مَا أَشْرَكُوا </w:t>
      </w:r>
      <w:r w:rsidRPr="00671CDB">
        <w:rPr>
          <w:rFonts w:ascii="Traditional Arabic" w:hAnsi="Traditional Arabic" w:cs="Traditional Arabic"/>
          <w:sz w:val="36"/>
          <w:szCs w:val="36"/>
        </w:rPr>
        <w:sym w:font="AGA Arabesque" w:char="F05B"/>
      </w:r>
      <w:r w:rsidRPr="00671CDB">
        <w:rPr>
          <w:rFonts w:ascii="Traditional Arabic" w:hAnsi="Traditional Arabic" w:cs="Traditional Arabic"/>
          <w:sz w:val="36"/>
          <w:szCs w:val="36"/>
          <w:rtl/>
        </w:rPr>
        <w:t xml:space="preserve"> (الأنعام:107) </w:t>
      </w:r>
      <w:r w:rsidRPr="00671CDB">
        <w:rPr>
          <w:rFonts w:ascii="Traditional Arabic" w:hAnsi="Traditional Arabic" w:cs="Traditional Arabic"/>
          <w:sz w:val="36"/>
          <w:szCs w:val="36"/>
        </w:rPr>
        <w:sym w:font="AGA Arabesque" w:char="F05D"/>
      </w:r>
      <w:r w:rsidRPr="00671CDB">
        <w:rPr>
          <w:rFonts w:ascii="Traditional Arabic" w:hAnsi="Traditional Arabic" w:cs="Traditional Arabic"/>
          <w:sz w:val="36"/>
          <w:szCs w:val="36"/>
          <w:rtl/>
        </w:rPr>
        <w:t xml:space="preserve">وَلَوْ شِئْنَا لَآتَيْنَا كُلَّ نَفْسٍ هُدَاهَا </w:t>
      </w:r>
      <w:r w:rsidRPr="00671CDB">
        <w:rPr>
          <w:rFonts w:ascii="Traditional Arabic" w:hAnsi="Traditional Arabic" w:cs="Traditional Arabic"/>
          <w:sz w:val="36"/>
          <w:szCs w:val="36"/>
        </w:rPr>
        <w:sym w:font="AGA Arabesque" w:char="F05B"/>
      </w:r>
      <w:r w:rsidRPr="00671CDB">
        <w:rPr>
          <w:rFonts w:ascii="Traditional Arabic" w:hAnsi="Traditional Arabic" w:cs="Traditional Arabic"/>
          <w:sz w:val="36"/>
          <w:szCs w:val="36"/>
          <w:rtl/>
        </w:rPr>
        <w:t xml:space="preserve"> (السجدة:13) </w:t>
      </w:r>
      <w:r w:rsidRPr="00671CDB">
        <w:rPr>
          <w:rFonts w:ascii="Traditional Arabic" w:hAnsi="Traditional Arabic" w:cs="Traditional Arabic"/>
          <w:sz w:val="36"/>
          <w:szCs w:val="36"/>
        </w:rPr>
        <w:sym w:font="AGA Arabesque" w:char="F05D"/>
      </w:r>
      <w:r w:rsidRPr="00671CDB">
        <w:rPr>
          <w:rFonts w:ascii="Traditional Arabic" w:hAnsi="Traditional Arabic" w:cs="Traditional Arabic"/>
          <w:sz w:val="36"/>
          <w:szCs w:val="36"/>
          <w:rtl/>
        </w:rPr>
        <w:t xml:space="preserve"> وَلَوْ شَاءَ اللَّهُ لَجَمَعَهُمْ عَلَى الْهُدَى</w:t>
      </w:r>
      <w:r w:rsidRPr="00671CDB">
        <w:rPr>
          <w:rFonts w:ascii="Traditional Arabic" w:hAnsi="Traditional Arabic" w:cs="Traditional Arabic"/>
          <w:sz w:val="36"/>
          <w:szCs w:val="36"/>
        </w:rPr>
        <w:sym w:font="AGA Arabesque" w:char="F05B"/>
      </w:r>
      <w:r w:rsidRPr="00671CDB">
        <w:rPr>
          <w:rFonts w:ascii="Traditional Arabic" w:hAnsi="Traditional Arabic" w:cs="Traditional Arabic"/>
          <w:sz w:val="36"/>
          <w:szCs w:val="36"/>
          <w:rtl/>
        </w:rPr>
        <w:t xml:space="preserve"> (الأنعام:35)». </w:t>
      </w:r>
    </w:p>
    <w:p w:rsidR="00602F29" w:rsidRDefault="00602F29" w:rsidP="00602F29">
      <w:pPr>
        <w:bidi/>
        <w:spacing w:after="0" w:line="240" w:lineRule="auto"/>
        <w:jc w:val="both"/>
        <w:rPr>
          <w:rFonts w:ascii="Traditional Arabic" w:hAnsi="Traditional Arabic" w:cs="Traditional Arabic"/>
          <w:sz w:val="36"/>
          <w:szCs w:val="36"/>
          <w:rtl/>
        </w:rPr>
      </w:pPr>
    </w:p>
    <w:p w:rsidR="00602F29" w:rsidRPr="00E5245C" w:rsidRDefault="00602F29" w:rsidP="00602F29">
      <w:pPr>
        <w:bidi/>
        <w:spacing w:after="0" w:line="240" w:lineRule="auto"/>
        <w:jc w:val="center"/>
        <w:rPr>
          <w:rFonts w:asciiTheme="majorBidi" w:hAnsiTheme="majorBidi" w:cstheme="majorBidi"/>
          <w:b/>
          <w:bCs/>
          <w:sz w:val="36"/>
          <w:szCs w:val="36"/>
          <w:rtl/>
        </w:rPr>
      </w:pPr>
      <w:proofErr w:type="gramStart"/>
      <w:r w:rsidRPr="00E5245C">
        <w:rPr>
          <w:rFonts w:asciiTheme="majorBidi" w:hAnsiTheme="majorBidi" w:cstheme="majorBidi"/>
          <w:b/>
          <w:bCs/>
          <w:sz w:val="36"/>
          <w:szCs w:val="36"/>
          <w:rtl/>
        </w:rPr>
        <w:t>أسئلة</w:t>
      </w:r>
      <w:proofErr w:type="gramEnd"/>
      <w:r w:rsidRPr="00E5245C">
        <w:rPr>
          <w:rFonts w:asciiTheme="majorBidi" w:hAnsiTheme="majorBidi" w:cstheme="majorBidi"/>
          <w:b/>
          <w:bCs/>
          <w:sz w:val="36"/>
          <w:szCs w:val="36"/>
          <w:rtl/>
        </w:rPr>
        <w:t xml:space="preserve"> لتعميق الفهم</w:t>
      </w:r>
    </w:p>
    <w:p w:rsidR="00602F29" w:rsidRDefault="00602F29" w:rsidP="00602F2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1-ألف الزركشي كتابا في المسائل الكلامية في أصول الفقه سماه سلاسل الذهب، لبيان تسلسل هذه المسائل وارتباط بعضها ببعض، حاول من خلال فهمك لهذه المسائل بيان تسلسها ووجه الترابط بينها.</w:t>
      </w:r>
    </w:p>
    <w:p w:rsidR="00602F29" w:rsidRPr="00671CDB" w:rsidRDefault="00602F29" w:rsidP="00602F2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2-ما رأيك في محتوى الكتب الأصولية التي حصرت الخلافات في ثنائية المعتزلة والأشاعرة، ولم تتعرض لمواقف </w:t>
      </w:r>
      <w:proofErr w:type="spellStart"/>
      <w:r>
        <w:rPr>
          <w:rFonts w:ascii="Traditional Arabic" w:hAnsi="Traditional Arabic" w:cs="Traditional Arabic" w:hint="cs"/>
          <w:sz w:val="36"/>
          <w:szCs w:val="36"/>
          <w:rtl/>
        </w:rPr>
        <w:t>الماتريدية</w:t>
      </w:r>
      <w:proofErr w:type="spellEnd"/>
      <w:r>
        <w:rPr>
          <w:rFonts w:ascii="Traditional Arabic" w:hAnsi="Traditional Arabic" w:cs="Traditional Arabic" w:hint="cs"/>
          <w:sz w:val="36"/>
          <w:szCs w:val="36"/>
          <w:rtl/>
        </w:rPr>
        <w:t xml:space="preserve"> ومتقدمي الفقهاء؟ </w:t>
      </w:r>
    </w:p>
    <w:p w:rsidR="00BC7638" w:rsidRDefault="000F1613"/>
    <w:sectPr w:rsidR="00BC76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613" w:rsidRDefault="000F1613" w:rsidP="00602F29">
      <w:pPr>
        <w:spacing w:after="0" w:line="240" w:lineRule="auto"/>
      </w:pPr>
      <w:r>
        <w:separator/>
      </w:r>
    </w:p>
  </w:endnote>
  <w:endnote w:type="continuationSeparator" w:id="0">
    <w:p w:rsidR="000F1613" w:rsidRDefault="000F1613" w:rsidP="0060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AGA Arabesque">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81486089"/>
      <w:docPartObj>
        <w:docPartGallery w:val="Page Numbers (Bottom of Page)"/>
        <w:docPartUnique/>
      </w:docPartObj>
    </w:sdtPr>
    <w:sdtEndPr/>
    <w:sdtContent>
      <w:p w:rsidR="00602F29" w:rsidRDefault="00602F29" w:rsidP="00602F29">
        <w:pPr>
          <w:pStyle w:val="Pieddepage"/>
          <w:bidi/>
          <w:jc w:val="center"/>
        </w:pPr>
        <w:r>
          <w:fldChar w:fldCharType="begin"/>
        </w:r>
        <w:r>
          <w:instrText>PAGE   \* MERGEFORMAT</w:instrText>
        </w:r>
        <w:r>
          <w:fldChar w:fldCharType="separate"/>
        </w:r>
        <w:r w:rsidR="0050613C">
          <w:rPr>
            <w:noProof/>
            <w:rtl/>
          </w:rPr>
          <w:t>4</w:t>
        </w:r>
        <w:r>
          <w:fldChar w:fldCharType="end"/>
        </w:r>
      </w:p>
      <w:p w:rsidR="00602F29" w:rsidRDefault="00602F29" w:rsidP="00602F29">
        <w:pPr>
          <w:pStyle w:val="Pieddepage"/>
          <w:bidi/>
          <w:jc w:val="right"/>
        </w:pPr>
        <w:r>
          <w:rPr>
            <w:rFonts w:hint="cs"/>
            <w:rtl/>
            <w:lang w:bidi="ar-DZ"/>
          </w:rPr>
          <w:t xml:space="preserve">المباحث الكلامية </w:t>
        </w:r>
        <w:proofErr w:type="gramStart"/>
        <w:r>
          <w:rPr>
            <w:rFonts w:hint="cs"/>
            <w:rtl/>
            <w:lang w:bidi="ar-DZ"/>
          </w:rPr>
          <w:t>في</w:t>
        </w:r>
        <w:proofErr w:type="gramEnd"/>
        <w:r>
          <w:rPr>
            <w:rFonts w:hint="cs"/>
            <w:rtl/>
            <w:lang w:bidi="ar-DZ"/>
          </w:rPr>
          <w:t xml:space="preserve"> علم الأصول والسياسة الشرعية</w:t>
        </w:r>
      </w:p>
    </w:sdtContent>
  </w:sdt>
  <w:p w:rsidR="00602F29" w:rsidRDefault="00602F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613" w:rsidRDefault="000F1613" w:rsidP="00602F29">
      <w:pPr>
        <w:spacing w:after="0" w:line="240" w:lineRule="auto"/>
      </w:pPr>
      <w:r>
        <w:separator/>
      </w:r>
    </w:p>
  </w:footnote>
  <w:footnote w:type="continuationSeparator" w:id="0">
    <w:p w:rsidR="000F1613" w:rsidRDefault="000F1613" w:rsidP="00602F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29"/>
    <w:rsid w:val="000F1613"/>
    <w:rsid w:val="00461488"/>
    <w:rsid w:val="0050613C"/>
    <w:rsid w:val="00602F29"/>
    <w:rsid w:val="007E0E2E"/>
    <w:rsid w:val="00F60C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basedOn w:val="Policepardfaut"/>
    <w:link w:val="Titre"/>
    <w:rsid w:val="00602F29"/>
    <w:rPr>
      <w:rFonts w:ascii="Times New Roman" w:eastAsia="Times New Roman" w:hAnsi="Times New Roman" w:cs="Traditional Arabic"/>
      <w:sz w:val="20"/>
      <w:szCs w:val="32"/>
      <w:lang w:val="en-US"/>
    </w:rPr>
  </w:style>
  <w:style w:type="paragraph" w:styleId="Titre">
    <w:name w:val="Title"/>
    <w:basedOn w:val="Normal"/>
    <w:link w:val="TitreCar"/>
    <w:qFormat/>
    <w:rsid w:val="00602F29"/>
    <w:pPr>
      <w:bidi/>
      <w:spacing w:after="0" w:line="240" w:lineRule="auto"/>
      <w:jc w:val="center"/>
    </w:pPr>
    <w:rPr>
      <w:rFonts w:ascii="Times New Roman" w:eastAsia="Times New Roman" w:hAnsi="Times New Roman" w:cs="Traditional Arabic"/>
      <w:sz w:val="20"/>
      <w:szCs w:val="32"/>
      <w:lang w:val="en-US"/>
    </w:rPr>
  </w:style>
  <w:style w:type="character" w:customStyle="1" w:styleId="TitreCar1">
    <w:name w:val="Titre Car1"/>
    <w:basedOn w:val="Policepardfaut"/>
    <w:uiPriority w:val="10"/>
    <w:rsid w:val="00602F29"/>
    <w:rPr>
      <w:rFonts w:asciiTheme="majorHAnsi" w:eastAsiaTheme="majorEastAsia" w:hAnsiTheme="majorHAnsi" w:cstheme="majorBidi"/>
      <w:color w:val="17365D" w:themeColor="text2" w:themeShade="BF"/>
      <w:spacing w:val="5"/>
      <w:kern w:val="28"/>
      <w:sz w:val="52"/>
      <w:szCs w:val="52"/>
    </w:rPr>
  </w:style>
  <w:style w:type="character" w:customStyle="1" w:styleId="Corpsdetexte2Car">
    <w:name w:val="Corps de texte 2 Car"/>
    <w:basedOn w:val="Policepardfaut"/>
    <w:link w:val="Corpsdetexte2"/>
    <w:rsid w:val="00602F29"/>
    <w:rPr>
      <w:rFonts w:ascii="Times New Roman" w:eastAsia="Times New Roman" w:hAnsi="Times New Roman" w:cs="Traditional Arabic"/>
      <w:sz w:val="20"/>
      <w:szCs w:val="20"/>
      <w:lang w:val="en-US"/>
    </w:rPr>
  </w:style>
  <w:style w:type="paragraph" w:styleId="Corpsdetexte2">
    <w:name w:val="Body Text 2"/>
    <w:basedOn w:val="Normal"/>
    <w:link w:val="Corpsdetexte2Car"/>
    <w:rsid w:val="00602F29"/>
    <w:pPr>
      <w:bidi/>
      <w:spacing w:after="120" w:line="480" w:lineRule="auto"/>
    </w:pPr>
    <w:rPr>
      <w:rFonts w:ascii="Times New Roman" w:eastAsia="Times New Roman" w:hAnsi="Times New Roman" w:cs="Traditional Arabic"/>
      <w:sz w:val="20"/>
      <w:szCs w:val="20"/>
      <w:lang w:val="en-US"/>
    </w:rPr>
  </w:style>
  <w:style w:type="character" w:customStyle="1" w:styleId="Corpsdetexte2Car1">
    <w:name w:val="Corps de texte 2 Car1"/>
    <w:basedOn w:val="Policepardfaut"/>
    <w:uiPriority w:val="99"/>
    <w:semiHidden/>
    <w:rsid w:val="00602F29"/>
  </w:style>
  <w:style w:type="character" w:styleId="lev">
    <w:name w:val="Strong"/>
    <w:qFormat/>
    <w:rsid w:val="00602F29"/>
    <w:rPr>
      <w:b/>
      <w:bCs/>
    </w:rPr>
  </w:style>
  <w:style w:type="paragraph" w:styleId="En-tte">
    <w:name w:val="header"/>
    <w:basedOn w:val="Normal"/>
    <w:link w:val="En-tteCar"/>
    <w:uiPriority w:val="99"/>
    <w:unhideWhenUsed/>
    <w:rsid w:val="00602F29"/>
    <w:pPr>
      <w:tabs>
        <w:tab w:val="center" w:pos="4153"/>
        <w:tab w:val="right" w:pos="8306"/>
      </w:tabs>
      <w:spacing w:after="0" w:line="240" w:lineRule="auto"/>
    </w:pPr>
  </w:style>
  <w:style w:type="character" w:customStyle="1" w:styleId="En-tteCar">
    <w:name w:val="En-tête Car"/>
    <w:basedOn w:val="Policepardfaut"/>
    <w:link w:val="En-tte"/>
    <w:uiPriority w:val="99"/>
    <w:rsid w:val="00602F29"/>
  </w:style>
  <w:style w:type="paragraph" w:styleId="Pieddepage">
    <w:name w:val="footer"/>
    <w:basedOn w:val="Normal"/>
    <w:link w:val="PieddepageCar"/>
    <w:uiPriority w:val="99"/>
    <w:unhideWhenUsed/>
    <w:rsid w:val="00602F2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02F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basedOn w:val="Policepardfaut"/>
    <w:link w:val="Titre"/>
    <w:rsid w:val="00602F29"/>
    <w:rPr>
      <w:rFonts w:ascii="Times New Roman" w:eastAsia="Times New Roman" w:hAnsi="Times New Roman" w:cs="Traditional Arabic"/>
      <w:sz w:val="20"/>
      <w:szCs w:val="32"/>
      <w:lang w:val="en-US"/>
    </w:rPr>
  </w:style>
  <w:style w:type="paragraph" w:styleId="Titre">
    <w:name w:val="Title"/>
    <w:basedOn w:val="Normal"/>
    <w:link w:val="TitreCar"/>
    <w:qFormat/>
    <w:rsid w:val="00602F29"/>
    <w:pPr>
      <w:bidi/>
      <w:spacing w:after="0" w:line="240" w:lineRule="auto"/>
      <w:jc w:val="center"/>
    </w:pPr>
    <w:rPr>
      <w:rFonts w:ascii="Times New Roman" w:eastAsia="Times New Roman" w:hAnsi="Times New Roman" w:cs="Traditional Arabic"/>
      <w:sz w:val="20"/>
      <w:szCs w:val="32"/>
      <w:lang w:val="en-US"/>
    </w:rPr>
  </w:style>
  <w:style w:type="character" w:customStyle="1" w:styleId="TitreCar1">
    <w:name w:val="Titre Car1"/>
    <w:basedOn w:val="Policepardfaut"/>
    <w:uiPriority w:val="10"/>
    <w:rsid w:val="00602F29"/>
    <w:rPr>
      <w:rFonts w:asciiTheme="majorHAnsi" w:eastAsiaTheme="majorEastAsia" w:hAnsiTheme="majorHAnsi" w:cstheme="majorBidi"/>
      <w:color w:val="17365D" w:themeColor="text2" w:themeShade="BF"/>
      <w:spacing w:val="5"/>
      <w:kern w:val="28"/>
      <w:sz w:val="52"/>
      <w:szCs w:val="52"/>
    </w:rPr>
  </w:style>
  <w:style w:type="character" w:customStyle="1" w:styleId="Corpsdetexte2Car">
    <w:name w:val="Corps de texte 2 Car"/>
    <w:basedOn w:val="Policepardfaut"/>
    <w:link w:val="Corpsdetexte2"/>
    <w:rsid w:val="00602F29"/>
    <w:rPr>
      <w:rFonts w:ascii="Times New Roman" w:eastAsia="Times New Roman" w:hAnsi="Times New Roman" w:cs="Traditional Arabic"/>
      <w:sz w:val="20"/>
      <w:szCs w:val="20"/>
      <w:lang w:val="en-US"/>
    </w:rPr>
  </w:style>
  <w:style w:type="paragraph" w:styleId="Corpsdetexte2">
    <w:name w:val="Body Text 2"/>
    <w:basedOn w:val="Normal"/>
    <w:link w:val="Corpsdetexte2Car"/>
    <w:rsid w:val="00602F29"/>
    <w:pPr>
      <w:bidi/>
      <w:spacing w:after="120" w:line="480" w:lineRule="auto"/>
    </w:pPr>
    <w:rPr>
      <w:rFonts w:ascii="Times New Roman" w:eastAsia="Times New Roman" w:hAnsi="Times New Roman" w:cs="Traditional Arabic"/>
      <w:sz w:val="20"/>
      <w:szCs w:val="20"/>
      <w:lang w:val="en-US"/>
    </w:rPr>
  </w:style>
  <w:style w:type="character" w:customStyle="1" w:styleId="Corpsdetexte2Car1">
    <w:name w:val="Corps de texte 2 Car1"/>
    <w:basedOn w:val="Policepardfaut"/>
    <w:uiPriority w:val="99"/>
    <w:semiHidden/>
    <w:rsid w:val="00602F29"/>
  </w:style>
  <w:style w:type="character" w:styleId="lev">
    <w:name w:val="Strong"/>
    <w:qFormat/>
    <w:rsid w:val="00602F29"/>
    <w:rPr>
      <w:b/>
      <w:bCs/>
    </w:rPr>
  </w:style>
  <w:style w:type="paragraph" w:styleId="En-tte">
    <w:name w:val="header"/>
    <w:basedOn w:val="Normal"/>
    <w:link w:val="En-tteCar"/>
    <w:uiPriority w:val="99"/>
    <w:unhideWhenUsed/>
    <w:rsid w:val="00602F29"/>
    <w:pPr>
      <w:tabs>
        <w:tab w:val="center" w:pos="4153"/>
        <w:tab w:val="right" w:pos="8306"/>
      </w:tabs>
      <w:spacing w:after="0" w:line="240" w:lineRule="auto"/>
    </w:pPr>
  </w:style>
  <w:style w:type="character" w:customStyle="1" w:styleId="En-tteCar">
    <w:name w:val="En-tête Car"/>
    <w:basedOn w:val="Policepardfaut"/>
    <w:link w:val="En-tte"/>
    <w:uiPriority w:val="99"/>
    <w:rsid w:val="00602F29"/>
  </w:style>
  <w:style w:type="paragraph" w:styleId="Pieddepage">
    <w:name w:val="footer"/>
    <w:basedOn w:val="Normal"/>
    <w:link w:val="PieddepageCar"/>
    <w:uiPriority w:val="99"/>
    <w:unhideWhenUsed/>
    <w:rsid w:val="00602F2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02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1069</Words>
  <Characters>5882</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2021-01-08T11:04:00Z</dcterms:created>
  <dcterms:modified xsi:type="dcterms:W3CDTF">2021-01-08T20:53:00Z</dcterms:modified>
</cp:coreProperties>
</file>