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CE" w:rsidRDefault="00147ACE" w:rsidP="00940C4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bidi="ar-DZ"/>
        </w:rPr>
        <w:t xml:space="preserve">النهج الجدلي المادي عند كارل ماركس : ( 1818م - 1883م)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انطلق كارل ماركس كغيره من زعماء الفلسفة الغربية الحديثة في بناء منهجه المادي الجدلي من نقده لفلسفة عصره ، وبالتحديد فلسفة "هيجل" (1770/1831م) المثالية ، هذه الأخيرة التي كانت تقوم على ثنائية الذات والموضوع وانتماء كل واحد منهما إلى الآخر ،" إن كل ما  هو واقعي عقلاني وكل م اهو عقلاني واقعي " كما يقول هيجل ، وذلك انطلاقا من أن كل الظواهر مُدركة من طرف الذات ، فتكون بذلك الذات المدركة جزء من الموضوع المدرك والعكس صحيح ، ولا شك أن هذا التصور الهيجلي يرجع إلى فكرة أن العالم الحسي يفهم بالعقل ، وهو مجرد ظاهرة فقط أو مظهر خارجي للفكرة وثمرة لها ، وتصبح بذلك الذات (الفكرة) هي مبدأ الحقيقة.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من هذه النقطة بالتحديد ومن غيرها التي سنتكلم عنها في نشأة المادية الجدلية لاحقا ، كانت بداية كارل ماركس ، إذ حاول أن يرجع الأسبقية والأهمية للعالم الخارجي على العقل ، باعتبار أن الأول هو منبع وأصل المعرفة ، فكان طريقه في ذلك وضع المنهج الجدلي المادي وتفصيل ذلك فيما يلي :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54783F"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bidi="ar-DZ"/>
        </w:rPr>
        <w:t>المنهج المادي الجدلي :</w:t>
      </w:r>
    </w:p>
    <w:p w:rsidR="0054783F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الجدل أو الديالكتيك هو في الأصل مصطلح يوناني يعني </w:t>
      </w:r>
      <w:r w:rsidR="0054783F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"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فن الحوار أو النقاش </w:t>
      </w:r>
      <w:r w:rsidR="0054783F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"، و بشير إلى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طريقة في الحوار تعتمد على الحجاج والمناظرة لغرض إ</w:t>
      </w:r>
      <w:r w:rsidR="0054783F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ثبات فكرة أو تبرير موقف ما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54783F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إن الجدل قديم في تاريخ الفلسفة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عرف تطورات وخصائص كثيرة ، بداية من الجدل الفلسفي مع زينون الايلي إلى جدل أفلاطون ، والجدل كمنهج عند علماء الكلام ، ولا تخلو أي فلسفة عبر كل مراحلها التاريخية من الجدل سواء كمنهج علمي ، أو كأسلوب في الحوار. </w:t>
      </w:r>
    </w:p>
    <w:p w:rsidR="00147ACE" w:rsidRDefault="0054783F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 xml:space="preserve"> بلغ الجدل أوجه مع الفلسفة المثالية الألمانية مع هيجل الذي أصبح</w:t>
      </w:r>
      <w:r w:rsidR="00147ACE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منهجا فلسفيا متكاملا، وصولا إلى الجدل المادي مع كارل ماركس ، وهو موضوع بحثنا ، فما هو الجدل ، وما هي الجدلية المادية ؟ ولماذا هي مادية ؟.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54783F"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bidi="ar-DZ"/>
        </w:rPr>
        <w:t>نشأة المادية الجدلية :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قبل الإجابة على الأسئلة السابقة أود أن أشير إلى لمحة تاريخية موجزة عن نشأة المادية الجدلية التي كانت على يد كبار الفلاسفة الذين نظروا لها وعلى رأسهم كارل ماركس ، وفريديرك انجلز  (1820/1895) ، ثم تبعهم في ذلك فلاديمير لينين (1870/1924) ،وكان ذلك في أواخر القرن الثامن عشر وبداية القرن التاسع عشر في ألمانيا ، تزامن ذلك مع الحركات الشعبوية التحررية والنضال من أجل الانعتاق من العبودية ، كذلك عرفت هذه الفترة تطورا ملحوظا في العلوم خاصة في الكمياء والفزياء ، إذ عرف هذا العصر أكبر الاكتشافات العلمية في مجال الطاقة والخلية وكذلك نظرية تشارلز داروين (1809/1882) حول أصل وتطور الأنواع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لقد كان لهذه الاكتشافات العلم</w:t>
      </w:r>
      <w:r w:rsidR="0054783F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ية دور في كبير في إعادة النظر إلى الطبيعة وتجاوز التصورات الميتافيزيقية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، و اعتبارا من ذلك أصبحت الطبيعة في حالة حركة وتحول دائمة ، وهذا بدوره يصدق على المجتمع فهو في حالة من التحول والتبدل كذلك ، والظاهرة عموما أيا كانت طبيعتها تتصف بتلك الخاصية ؛ أي التبدل والتحول . من هنا ظهرت الحاجة إلى تغيير التصور الميتافيزيقي عن الطبيعة والوجود إلى تصور جديد أكثر واقعية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هذا وقد كانت الفلسفة السابقة على كارل ماركس وانجلز بمثابة الأرضية الخصبة التي انطلقا منها ، ونحن نتكلم هنا عن هيجل وفلسفته المثالية التي كانت تتضمن فكرة الجدل ، وعن فلسف</w:t>
      </w:r>
      <w:r w:rsidR="0054783F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ة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لودفيغ فيورباخ (1804/1872م) ، الذي انقلب على المثالية وأعطى تصورا ماديا للطبيعة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>من هنا كانت بداية المادية الجدلية التي هم أصحابها إلى نقد الفلسفة والعلم الإنساني</w:t>
      </w:r>
      <w:r w:rsidR="0054783F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وفق متطلبات عصرهم الثورية والنضالية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والداعية إلى الانعتاق  ، فخرجت الفلسفة الماركسية </w:t>
      </w:r>
      <w:r w:rsidR="0054783F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إلى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النور ومنها المادية الجدلية التي كانت بمثابة انطلاقة جديدة في العلم والفلسفة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54783F"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bidi="ar-DZ"/>
        </w:rPr>
        <w:t>تعريف الجدل :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"المقصود بالجدل هو منهج فلسفي يدرس الواقع في صيرورته الدائمة في حركته "</w:t>
      </w:r>
      <w:r w:rsidRPr="00940C40">
        <w:rPr>
          <w:rStyle w:val="Appelnotedebasdep"/>
          <w:sz w:val="32"/>
          <w:szCs w:val="32"/>
          <w:rtl/>
          <w:lang w:bidi="ar-DZ"/>
        </w:rPr>
        <w:footnoteReference w:id="2"/>
      </w:r>
      <w:r w:rsidRPr="00940C40">
        <w:rPr>
          <w:rStyle w:val="Appelnotedebasdep"/>
          <w:rFonts w:hint="cs"/>
          <w:sz w:val="32"/>
          <w:szCs w:val="32"/>
          <w:rtl/>
        </w:rPr>
        <w:t xml:space="preserve">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، والجدل الماركسي هو:"علم أعم قوانين تطور الطبيعة والمجتمع والفكر الإنساني "</w:t>
      </w:r>
      <w:r w:rsidRPr="00940C40">
        <w:rPr>
          <w:rStyle w:val="Appelnotedebasdep"/>
          <w:sz w:val="32"/>
          <w:szCs w:val="32"/>
          <w:rtl/>
          <w:lang w:bidi="ar-DZ"/>
        </w:rPr>
        <w:footnoteReference w:id="3"/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نفهم مما سبق أن هذا الجدل الذي يضعه كارل ماركس يتوجه نحو المادة في تحولاتها وحركتها باعتبارها مبدأ ومنها يمكن أن نصل إلى المعرفة التامة بالأشياء ، فالمادة سابقة على الوعي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54783F"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bidi="ar-DZ"/>
        </w:rPr>
        <w:t>المادية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:تعني " نظرة للعالم ، أي طريقة في فهم ظواهر الطبيعة </w:t>
      </w:r>
      <w:r w:rsidR="0017256B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وتأملها اعتمادا على مبادئ محدودة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، وكذلك فيما يتعلق بالظواهر الاجتماعية ، تصبح هذه "النظرة للعالم" في جميع الظروف ،فهي أساس عدد من العلوم ، وهي بهذا تكون تفسيرا عاما للعالم يجعل الأعمال العالمية أساسا متينا ولهذا فهي تكون نظرية "</w:t>
      </w:r>
      <w:r w:rsidRPr="0017256B">
        <w:rPr>
          <w:rStyle w:val="Appelnotedebasdep"/>
          <w:sz w:val="32"/>
          <w:szCs w:val="32"/>
          <w:rtl/>
          <w:lang w:bidi="ar-DZ"/>
        </w:rPr>
        <w:footnoteReference w:id="4"/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17256B"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bidi="ar-DZ"/>
        </w:rPr>
        <w:t>أما المادية الجدلية فهي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: "التي ترى أن الصورة لا يمكن أن توجد بدون محتوى معين، كما أن المحتوى لا يمكن أن يوجد بدون صورة معينة ، ولا يعني القول بأن المحتوى لا يمكن أن يوجد بدون الصورة أن الصورة هي التي تعينه وتحدده ، بل هو الذي يعينها ويحددها ، يعني ذلك أن الصورة ليست سابقة في الوجود ولا هي أزلية بل تتغير حسب التغيرات التي تطرأ على المحتوى . يتغير المحتوى أولا تتغير ظروف البيئية المحيطة به  ، ثم تتغير الصورة حسب تغيرات المحتوى ونمو التناقضات الداخلية في المحتوى ، نتج عن ذلك أن الصورة بدلا من أن تسبق النمو في الوجود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>تعكسه لنا فتتأخر بذلك عن الوجود عن المحتوى ، يسبق المحتوى الصورة خلال النمو ، وتتأخر الصورة عن المحتوى .ولا يمكن وجود المحتوى بدون الصورة</w:t>
      </w:r>
      <w:r w:rsidR="0017256B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، ومع ذلك فإ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ن ؛ الصورة لا تتفق تماما مع المحتوى لتأخرها عنه ولهذا يظهر المحتوى الجديد لاتخاذ الصورة القديمة مؤقتا فينشأ عن ذلك النزاع والصراع بينهما " </w:t>
      </w:r>
      <w:r w:rsidRPr="0017256B">
        <w:rPr>
          <w:rStyle w:val="Appelnotedebasdep"/>
          <w:rFonts w:asciiTheme="majorBidi" w:hAnsiTheme="majorBidi" w:cs="Traditional Arabic"/>
          <w:sz w:val="32"/>
          <w:szCs w:val="32"/>
          <w:rtl/>
          <w:lang w:bidi="ar-DZ"/>
        </w:rPr>
        <w:footnoteReference w:id="5"/>
      </w:r>
      <w:r w:rsidR="0017256B">
        <w:rPr>
          <w:rStyle w:val="Appelnotedebasdep"/>
          <w:rFonts w:hint="cs"/>
          <w:sz w:val="32"/>
          <w:szCs w:val="32"/>
          <w:rtl/>
        </w:rPr>
        <w:t>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إن المادية الجدلية انطلقت من البحث في الظواهر الطبيعية على أساس أنها مادية ، وهي جدلية لأن جميع تلك الظواهر تتطور وتتحقق عبر قوى داخلية متعارضة ، عكس الجدلية المثالية تماما التي تعطي الأسبقية للوعي على المادة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إن </w:t>
      </w:r>
      <w:r w:rsidRPr="0017256B">
        <w:rPr>
          <w:rFonts w:asciiTheme="majorBidi" w:hAnsiTheme="majorBidi" w:cs="Traditional Arabic" w:hint="cs"/>
          <w:b/>
          <w:bCs/>
          <w:sz w:val="36"/>
          <w:szCs w:val="36"/>
          <w:u w:val="single"/>
          <w:rtl/>
          <w:lang w:bidi="ar-DZ"/>
        </w:rPr>
        <w:t>الجدل الماركسي جدل مادي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يعطي الأولوية للعالم المادي على العقل ، بحيث تكون حركة الفكر نتاج حركة الواقع التي تٌتَرجم في عقل الإنسان على شكل أفكار وتصورات ، فهي بمعنى أوضح تنطلق من الواقع العلمي للظاهرة أي من المادة التي تخضع لقوانين ومبادئ معينة قائمة على العلم وتطور المجتمع ، ومنه يمكن أن نجمل خصائص النزعة المادية الجدلية في ثلاث عناصر أساسية </w:t>
      </w:r>
      <w:r w:rsidRPr="0017256B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:" 1/العالم مادي بطبيعته .2/المادة هي المعطى الأول والوعي هو المعطى ثانوي مشتق منها .3/ يمكن معرفة العالم وقوانينه معرفة تامة "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17256B">
        <w:rPr>
          <w:rStyle w:val="Appelnotedebasdep"/>
          <w:rFonts w:asciiTheme="majorBidi" w:hAnsiTheme="majorBidi" w:cs="Traditional Arabic"/>
          <w:sz w:val="32"/>
          <w:szCs w:val="32"/>
          <w:rtl/>
          <w:lang w:bidi="ar-DZ"/>
        </w:rPr>
        <w:footnoteReference w:id="6"/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إن المادية الجدلية تقوم بدراسة التفاعلات والتبادلات القائمة في المادة ، وذلك وفق قوانين الديالكتيك التي تساعد الباحث على معرفة العلاقات القائمة بين الظواهر وتطورها ومعرفة أجزائها ، وهذه القوانين  هي " المتحكمة في حركة المادة وفي ارتقاء الطبيعة والحياة الاجتماعية والوعي الإنساني . وهذه القوانين هي الأشمل والأعم ، أي أن الأشياء كافة والظاهرات قاطبة تنصاع لها انصياعا مطلقا وهي تسمى قوانين الجدل "</w:t>
      </w:r>
      <w:r w:rsidRPr="0017256B">
        <w:rPr>
          <w:rStyle w:val="Appelnotedebasdep"/>
          <w:rFonts w:asciiTheme="majorBidi" w:hAnsiTheme="majorBidi" w:cs="Traditional Arabic"/>
          <w:sz w:val="32"/>
          <w:szCs w:val="32"/>
          <w:rtl/>
          <w:lang w:bidi="ar-DZ"/>
        </w:rPr>
        <w:footnoteReference w:id="7"/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 xml:space="preserve">إن هذه القوانين مترابطة فيما بينها ومرتبة بشكل متسلسل فهي تمثل وحدة متناسقة رغم تعددها ، وعلى الباحث أن يلتزم بها في محاولات فهمه للواقع ، وهي على الترتيب التالي :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1/قانون التحول في الكيف والكم .2/قانون وحدة صراع الأضداد .3/ قانون نفي النفي .وتفصيل مضمون قوانين الديالكتيك فيما يلي :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17256B"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bidi="ar-DZ"/>
        </w:rPr>
        <w:t>قوانين الجدل المادي الماركسي :</w:t>
      </w:r>
    </w:p>
    <w:p w:rsidR="00147ACE" w:rsidRPr="0017256B" w:rsidRDefault="0017256B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17256B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أ</w:t>
      </w:r>
      <w:r w:rsidR="00147ACE" w:rsidRPr="0017256B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 xml:space="preserve"> / قانون التحول في الكيف والكم :</w:t>
      </w:r>
      <w:r w:rsidR="00147ACE" w:rsidRPr="0017256B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يرصد هذا القانون التغيرات التي تحدث عل مستوى الكم والكيف ، فالظاهرة الطبيعية تعرف تغيرات كثيرة من حيث التطور فتظهر عليها الزيادة والنقصان مثلا ، وذلك ناتج عن تفاعل وتصارع بين عناصرها . عندما تصل هذه الظاهرة إلى مستوى نهاية التغير الكمي ، يظهر عليها تغيرا كيفيا بالضرورة ، وهذا التحول هو بمثابة "قفزة " أو "طفرة ".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وعليه يكون هذا التحول النوعي الذي يحدد صفات وخصائص الظاهرة ناتجا عن التّغير الكمي لها ، والذي يحدث بشكل متواصل إلى حين مرحلة النهاية والاستكمال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إن هذا القانون يبين طبيعة التطور الموجودة في الظاهرة ، وبه نعرف كيفية النشوء وكيفية النمو والتحول . ويمكن أن نلخص هذا القانون فيما يلي :"إن التغيرات الكمية الطفيفة غير المحسوسة في البدء تؤدي بتراكمها التدريجي ، وفي لحظة معينة إلى تغيرات نوعية جذرية ، تختفي على إثرها النوعية القديمة ، وتظهر نوعية جديدة تفضي بدورها إلى تغيرات كمية جديدة " </w:t>
      </w:r>
      <w:r w:rsidRPr="0017256B">
        <w:rPr>
          <w:rStyle w:val="Appelnotedebasdep"/>
          <w:rFonts w:asciiTheme="majorBidi" w:hAnsiTheme="majorBidi" w:cs="Traditional Arabic"/>
          <w:sz w:val="32"/>
          <w:szCs w:val="32"/>
          <w:rtl/>
          <w:lang w:bidi="ar-DZ"/>
        </w:rPr>
        <w:footnoteReference w:id="8"/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.</w:t>
      </w:r>
    </w:p>
    <w:p w:rsidR="00147ACE" w:rsidRDefault="0017256B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17256B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ب</w:t>
      </w:r>
      <w:r w:rsidR="00147ACE" w:rsidRPr="0017256B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 xml:space="preserve"> / قانون وحدة صراع الأضداد :</w:t>
      </w:r>
      <w:r w:rsidR="00147ACE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>يقوم هذا القانون على جدلية الصراع بين الأضداد فيما بينها ، وهو صراع ملازم لاستمرار النوع البشري ، أو الظاهرة عموما أيا كانت طبيعتها ، فكل شيء يحمل في ذاته نقيضه ، بداية ونهاية /حياة موت ...، وفي هذا التناقض تكون وحدة الشيء التي هي في صراع داخلي مستمر ومتواصل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إن الصراع هو سبب حدوث التغيرات الكمية التي تكلمنا عنها في القانون السابق ، ومنها تحدث التغيرات الكيفية من حيث الصفات والخصائص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يفضي هذا القانون إلى أن الوحدة هي شرط أساسي للصراع القائم بين الأضداد ، وإن كانت تحمل في داخلها تناقضات فهي في ذلك تتحقق ، فهذا القانون يكشف عن مصدر الصراع في الظواهر المتمثل في الأضداد القائمة فيها ، والتي رغم تناقضها تشكل وحدة ، ومن ثمة تكُون الوحدة ضرورية هي الأخرى وأساسية في استمرار الظاهرة وتطورها . 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مما سبق نخلص إل أن الجدل الماركسي هو صراع يتجه نحو الأعلى ، وبه تصبح الظاهرة أكثر تميزا وتعقيدا مما كانت عليه ، ومنه " يكمن جوهر قانون وحدة الأضداد وصراعها ، في كون التناقضات الداخلية ملازمة لكل شيء ولكل سيرورة ، وهذه التناقضات هي في حالة وحدة ، وفي الوقت نفسه في حالة صراع دائم "</w:t>
      </w:r>
      <w:r w:rsidRPr="0017256B">
        <w:rPr>
          <w:rStyle w:val="Appelnotedebasdep"/>
          <w:rFonts w:asciiTheme="majorBidi" w:hAnsiTheme="majorBidi" w:cs="Traditional Arabic"/>
          <w:sz w:val="32"/>
          <w:szCs w:val="32"/>
          <w:rtl/>
          <w:lang w:bidi="ar-DZ"/>
        </w:rPr>
        <w:footnoteReference w:id="9"/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.</w:t>
      </w:r>
    </w:p>
    <w:p w:rsidR="00147ACE" w:rsidRDefault="0017256B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17256B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ج</w:t>
      </w:r>
      <w:r w:rsidR="00147ACE" w:rsidRPr="0017256B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 xml:space="preserve"> / قانون نفي النفي :</w:t>
      </w:r>
      <w:r w:rsidR="00147ACE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يقوم هذا القانون على مبدأ تطوّر الظّاهرة عند بلوغها الدّرجة الأخيرة من التّحوّل والتّغيّر : " القفزة " ، فتظهر حالة جديدة تنفي سابقتها ، أو بالأحرى تختلف عن الظّاهرة في بداية الأمر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إنّ هذا النّفي لا يعني انعدام الظّاهرة بل هو تطوّر لها ، يكون أكثر كمالا وأكثر نضجا مع بقاء الجوانب الإيجابيّة الأولى وهكذا يحدث التّطوّر وهو خروج من حالة إلى نقيض لها ، وهكذا .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 xml:space="preserve">يكمن جوهر قانون نفي النّفي فيما يلي : " خلال سيرورة التّطوّر تُنْفى كلّ درجة عليا وتزيح الدّرجة السّابقة ، لكنّها ترفعها في الوقت نفسه إلى مستوى جديد وتصون كلّ المضمون الإيجابيّ المكتسب أثناء تطوّرها " </w:t>
      </w:r>
      <w:r w:rsidRPr="0017256B">
        <w:rPr>
          <w:rStyle w:val="Appelnotedebasdep"/>
          <w:rFonts w:asciiTheme="majorBidi" w:hAnsiTheme="majorBidi" w:cs="Traditional Arabic"/>
          <w:sz w:val="32"/>
          <w:szCs w:val="32"/>
          <w:rtl/>
          <w:lang w:bidi="ar-DZ"/>
        </w:rPr>
        <w:footnoteReference w:id="10"/>
      </w:r>
      <w:r w:rsidRPr="0017256B">
        <w:rPr>
          <w:rStyle w:val="Appelnotedebasdep"/>
          <w:rFonts w:hint="cs"/>
          <w:sz w:val="32"/>
          <w:szCs w:val="32"/>
          <w:rtl/>
        </w:rPr>
        <w:t xml:space="preserve">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.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إنّ هذا القانون يؤسّس لمبدأ التّطوّر الّذي لا يمكن أن يحصل حصولا إيجابيّا إلّا عن طريق تجاوز العناصر السّلبيّة في الظّاهرة والإبقاء على ما هو إيجابيّ فقط ، ومن ثمّة السّموّ بالظّاهرة نحو نقيض جديد أكثر فاعليّة ، كالتّحوّل مثلا من نظام الدّولة القديمة إلى نظام الدّولة الحديثة . 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خلاصة : تتمثّل أهمّية منهج كارل ماركس في توجيه الفكر نحو الواقع ، وهو توجّه نحو فلسفة مادّيّة جديدة تقضي على كلّ أنواع الفكر المثاليّ النّظريّ وعلى الأفكار الميتافيزيقيّة ، إنّها فلسفة مادّيّة تجعل من الواقع موضوعا لها ، وهي جدليّة من حيث أنّها تتّجه نحو التّناقضات والتّحوّلات والصّراع القائم في داخل الظاهرة لمحاولة فهمها وإقامة معرفة جديدة حولها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من هنا يظهر البعد الفلسفيّ الّذي أراده كارل ماركس للخروج من التّصوّرات الميتافيزيقيّة ، فلا يمكن أن نحمل ما هو مشاهد محسوس ماديّ إلى جعله متعاليا على مستوى الذّات والوعي 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إنّ المادّة مع المنهج الجدليّ متحرّكة بحركة جدليّة داخليّة ، وفي هذا ردّ على التّصوّر الّذي يعتقد أنّ المادّة ساكنة ، ذلك أنّ : " المادّيّة القديمة ميتافيزيقيّة كانت ترى إلى الطّبيعة على أنّها ساكنة ثابتة ، من ذلك على سبيل المثال أنّهم كانوا في القرنين السّابع عشر والثّامن عشر يعتبرون أنّ الشّمس والكواكب وأفلاكها لا تتعرّض بأيّ تغيّر ، وكان التّصوّر عينه عن الطّبيعة قد رسخ في الأذهان "</w:t>
      </w:r>
      <w:r w:rsidRPr="0017256B">
        <w:rPr>
          <w:rStyle w:val="Appelnotedebasdep"/>
          <w:rFonts w:asciiTheme="majorBidi" w:hAnsiTheme="majorBidi" w:cs="Traditional Arabic"/>
          <w:sz w:val="32"/>
          <w:szCs w:val="32"/>
          <w:rtl/>
          <w:lang w:bidi="ar-DZ"/>
        </w:rPr>
        <w:footnoteReference w:id="11"/>
      </w:r>
      <w:r w:rsidRPr="0017256B">
        <w:rPr>
          <w:rStyle w:val="Appelnotedebasdep"/>
          <w:rFonts w:hint="cs"/>
          <w:sz w:val="32"/>
          <w:szCs w:val="32"/>
          <w:rtl/>
        </w:rPr>
        <w:t xml:space="preserve">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.</w:t>
      </w:r>
    </w:p>
    <w:p w:rsidR="00147ACE" w:rsidRDefault="00147ACE" w:rsidP="00147AC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>إنّ الجدل الماديّ هو جدل علميّ لأنّه : " اتّحد عضويّا بالمّادّة ، وهذا الاتّحاد بين الجدل والمادّيّة يتحقّق في الفلسفة الماركسيّة في المادّيّة الجدليّة "</w:t>
      </w:r>
      <w:r w:rsidRPr="0017256B">
        <w:rPr>
          <w:rStyle w:val="Appelnotedebasdep"/>
          <w:rFonts w:asciiTheme="majorBidi" w:hAnsiTheme="majorBidi" w:cs="Traditional Arabic"/>
          <w:sz w:val="32"/>
          <w:szCs w:val="32"/>
          <w:rtl/>
          <w:lang w:bidi="ar-DZ"/>
        </w:rPr>
        <w:footnoteReference w:id="12"/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.</w:t>
      </w:r>
    </w:p>
    <w:p w:rsidR="00147ACE" w:rsidRDefault="00147ACE" w:rsidP="0017256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" لقد استطاعت النّزعة المادّيّة الجدلّيّة أن تفسّر الظّواهر تفسيرا مرضيا فدلّت على أنّ هذه الظّواهر ، إنّما هي صورة لحركة المادّة ، وأنّ المادّة لا تستطيع فقط إحداث الحركة بل تستطيع أيضا إحداث تغيّرات نوعيّة ، وأنّها تملك ديناميكيّة داخليّة نشيطة وقدرة على الخلق ، تعتمد على وجود التّناقض داخل الأشياء ذاتها " </w:t>
      </w:r>
      <w:r w:rsidR="0017256B">
        <w:rPr>
          <w:rStyle w:val="Appelnotedebasdep"/>
          <w:rFonts w:asciiTheme="majorBidi" w:hAnsiTheme="majorBidi" w:cs="Traditional Arabic"/>
          <w:b/>
          <w:bCs/>
          <w:sz w:val="36"/>
          <w:szCs w:val="36"/>
          <w:rtl/>
          <w:lang w:bidi="ar-DZ"/>
        </w:rPr>
        <w:footnoteReference w:id="13"/>
      </w:r>
      <w:r w:rsidR="0017256B">
        <w:rPr>
          <w:rFonts w:hint="cs"/>
          <w:b/>
          <w:bCs/>
          <w:sz w:val="36"/>
          <w:szCs w:val="36"/>
          <w:rtl/>
        </w:rPr>
        <w:t>.</w:t>
      </w:r>
    </w:p>
    <w:p w:rsidR="00D61797" w:rsidRDefault="00D61797">
      <w:pPr>
        <w:rPr>
          <w:lang w:bidi="ar-DZ"/>
        </w:rPr>
      </w:pPr>
    </w:p>
    <w:sectPr w:rsidR="00D61797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E8E" w:rsidRDefault="00256E8E" w:rsidP="00147ACE">
      <w:pPr>
        <w:spacing w:after="0" w:line="240" w:lineRule="auto"/>
      </w:pPr>
      <w:r>
        <w:separator/>
      </w:r>
    </w:p>
  </w:endnote>
  <w:endnote w:type="continuationSeparator" w:id="1">
    <w:p w:rsidR="00256E8E" w:rsidRDefault="00256E8E" w:rsidP="0014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E8E" w:rsidRDefault="00256E8E" w:rsidP="00147ACE">
      <w:pPr>
        <w:spacing w:after="0" w:line="240" w:lineRule="auto"/>
      </w:pPr>
      <w:r>
        <w:separator/>
      </w:r>
    </w:p>
  </w:footnote>
  <w:footnote w:type="continuationSeparator" w:id="1">
    <w:p w:rsidR="00256E8E" w:rsidRDefault="00256E8E" w:rsidP="00147ACE">
      <w:pPr>
        <w:spacing w:after="0" w:line="240" w:lineRule="auto"/>
      </w:pPr>
      <w:r>
        <w:continuationSeparator/>
      </w:r>
    </w:p>
  </w:footnote>
  <w:footnote w:id="2">
    <w:p w:rsidR="00147ACE" w:rsidRDefault="00147ACE" w:rsidP="00147ACE">
      <w:pPr>
        <w:pStyle w:val="Notedebasdepage"/>
        <w:rPr>
          <w:rtl/>
          <w:lang w:bidi="ar-DZ"/>
        </w:rPr>
      </w:pPr>
      <w:r>
        <w:rPr>
          <w:rtl/>
        </w:rPr>
        <w:t xml:space="preserve"> </w:t>
      </w: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tl/>
          <w:lang w:bidi="ar-DZ"/>
        </w:rPr>
        <w:t>-</w:t>
      </w:r>
      <w:r>
        <w:rPr>
          <w:rFonts w:ascii="Helvetica" w:hAnsi="Helvetica"/>
          <w:color w:val="333333"/>
          <w:sz w:val="23"/>
          <w:szCs w:val="23"/>
          <w:rtl/>
          <w:lang w:bidi="ar-DZ"/>
        </w:rPr>
        <w:t xml:space="preserve">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 xml:space="preserve">فاسيلي بودوستنيك وأوفشي ياخوت ، ألف باء المادية الجدلية </w:t>
      </w:r>
      <w:r>
        <w:rPr>
          <w:rFonts w:asciiTheme="majorBidi" w:hAnsiTheme="majorBidi" w:cs="Traditional Arabic" w:hint="cs"/>
          <w:rtl/>
          <w:lang w:bidi="ar-DZ"/>
        </w:rPr>
        <w:t>،ص12.</w:t>
      </w:r>
    </w:p>
  </w:footnote>
  <w:footnote w:id="3">
    <w:p w:rsidR="00147ACE" w:rsidRDefault="00147ACE" w:rsidP="00147ACE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- المرجع نفسه ، ص46 .</w:t>
      </w:r>
    </w:p>
  </w:footnote>
  <w:footnote w:id="4">
    <w:p w:rsidR="00147ACE" w:rsidRDefault="00147ACE" w:rsidP="00147ACE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sz w:val="28"/>
          <w:szCs w:val="28"/>
          <w:lang w:bidi="ar-DZ"/>
        </w:rPr>
      </w:pPr>
      <w:r>
        <w:rPr>
          <w:rtl/>
        </w:rPr>
        <w:t xml:space="preserve">    </w:t>
      </w: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tl/>
          <w:lang w:bidi="ar-DZ"/>
        </w:rPr>
        <w:t xml:space="preserve">- 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جورج بوليتزر وجي بيس، موريس كافين. أصول الفلسفة الماركسية، الجزء الأول  تعريب شعبان بركات ،المكتبة العصرية،</w:t>
      </w:r>
      <w:r>
        <w:rPr>
          <w:rFonts w:asciiTheme="majorBidi" w:hAnsiTheme="majorBidi" w:cs="Traditional Arabic"/>
          <w:sz w:val="28"/>
          <w:szCs w:val="28"/>
          <w:lang w:bidi="ar-DZ"/>
        </w:rPr>
        <w:t xml:space="preserve">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 xml:space="preserve">بيروت </w:t>
      </w:r>
      <w:r>
        <w:rPr>
          <w:rFonts w:asciiTheme="majorBidi" w:hAnsiTheme="majorBidi" w:cs="Traditional Arabic" w:hint="cs"/>
          <w:rtl/>
          <w:lang w:bidi="ar-DZ"/>
        </w:rPr>
        <w:t>،ص138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.</w:t>
      </w:r>
    </w:p>
  </w:footnote>
  <w:footnote w:id="5">
    <w:p w:rsidR="00147ACE" w:rsidRDefault="00147ACE" w:rsidP="00147ACE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-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جورج بوليتزر وجي بيس، موريس كافين. أصول الفلسفة الماركسية ، ص160.</w:t>
      </w:r>
    </w:p>
  </w:footnote>
  <w:footnote w:id="6">
    <w:p w:rsidR="00147ACE" w:rsidRDefault="00147ACE" w:rsidP="00147ACE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tl/>
          <w:lang w:bidi="ar-DZ"/>
        </w:rPr>
        <w:t xml:space="preserve">-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جورج بوليتزر وجي بيس، موريس كافين. أصول الفلسفة الماركسية ، 147.</w:t>
      </w:r>
    </w:p>
  </w:footnote>
  <w:footnote w:id="7">
    <w:p w:rsidR="00147ACE" w:rsidRDefault="00147ACE" w:rsidP="00147ACE">
      <w:pPr>
        <w:pStyle w:val="Notedebasdepage"/>
        <w:rPr>
          <w:lang w:bidi="ar-DZ"/>
        </w:rPr>
      </w:pPr>
      <w:r>
        <w:rPr>
          <w:rFonts w:asciiTheme="majorBidi" w:hAnsiTheme="majorBidi" w:cs="Traditional Arabic"/>
          <w:sz w:val="22"/>
          <w:szCs w:val="22"/>
          <w:lang w:bidi="ar-DZ"/>
        </w:rPr>
        <w:footnoteRef/>
      </w:r>
      <w:r>
        <w:rPr>
          <w:rtl/>
        </w:rPr>
        <w:t xml:space="preserve">  </w:t>
      </w:r>
      <w:r>
        <w:rPr>
          <w:rtl/>
          <w:lang w:bidi="ar-DZ"/>
        </w:rPr>
        <w:t>-</w:t>
      </w:r>
      <w:r>
        <w:rPr>
          <w:rFonts w:ascii="Helvetica" w:hAnsi="Helvetica"/>
          <w:color w:val="333333"/>
          <w:sz w:val="23"/>
          <w:szCs w:val="23"/>
          <w:rtl/>
          <w:lang w:bidi="ar-DZ"/>
        </w:rPr>
        <w:t xml:space="preserve">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فاسيلي بودوستنيك وأوفشي ياخوت ، ألف باء المادية الجدلية ، ص 46.</w:t>
      </w:r>
    </w:p>
  </w:footnote>
  <w:footnote w:id="8">
    <w:p w:rsidR="00147ACE" w:rsidRDefault="00147ACE" w:rsidP="00147ACE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tl/>
          <w:lang w:bidi="ar-DZ"/>
        </w:rPr>
        <w:t xml:space="preserve">-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فاسيلي بودوستنيك وأوفشي ياخوت ، ألف باء المادية الجدلية ، ص54.</w:t>
      </w:r>
    </w:p>
  </w:footnote>
  <w:footnote w:id="9">
    <w:p w:rsidR="00147ACE" w:rsidRDefault="00147ACE" w:rsidP="00147ACE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-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فاسيلي بودوستنيك وأوفشي ياخوت ، ألف باء المادية الجدلية، ص61.</w:t>
      </w:r>
    </w:p>
  </w:footnote>
  <w:footnote w:id="10">
    <w:p w:rsidR="00147ACE" w:rsidRDefault="00147ACE" w:rsidP="00147ACE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tl/>
          <w:lang w:bidi="ar-DZ"/>
        </w:rPr>
        <w:t xml:space="preserve">-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فاسيلي بودوستنيك وأوفشي ياخوت ، ألف باء المادية الجدلية ، ص66.</w:t>
      </w:r>
    </w:p>
  </w:footnote>
  <w:footnote w:id="11">
    <w:p w:rsidR="00147ACE" w:rsidRDefault="00147ACE" w:rsidP="00147ACE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فاسيلي بودوستنيك وأوفشي ياخوت ، ألف باء المادية الجدلية ، ص18.</w:t>
      </w:r>
    </w:p>
  </w:footnote>
  <w:footnote w:id="12">
    <w:p w:rsidR="00147ACE" w:rsidRDefault="00147ACE" w:rsidP="00147ACE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tl/>
          <w:lang w:bidi="ar-DZ"/>
        </w:rPr>
        <w:t xml:space="preserve">-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>فاسيلي بودوستنيك وأوفشي ياخوت ، ألف باء المادية الجدلية ، ص13.</w:t>
      </w:r>
    </w:p>
  </w:footnote>
  <w:footnote w:id="13">
    <w:p w:rsidR="0017256B" w:rsidRDefault="0017256B">
      <w:pPr>
        <w:pStyle w:val="Notedebasdepage"/>
        <w:rPr>
          <w:rFonts w:hint="cs"/>
        </w:rPr>
      </w:pPr>
      <w:r>
        <w:rPr>
          <w:rStyle w:val="Appelnotedebasdep"/>
        </w:rPr>
        <w:footnoteRef/>
      </w:r>
      <w:r>
        <w:rPr>
          <w:rtl/>
        </w:rPr>
        <w:t xml:space="preserve"> - </w:t>
      </w:r>
      <w:r>
        <w:rPr>
          <w:rFonts w:asciiTheme="majorBidi" w:hAnsiTheme="majorBidi" w:cs="Traditional Arabic" w:hint="cs"/>
          <w:sz w:val="28"/>
          <w:szCs w:val="28"/>
          <w:rtl/>
          <w:lang w:bidi="ar-DZ"/>
        </w:rPr>
        <w:t xml:space="preserve">جورج بوليتزر وجي بيس، موريس كافين. أصول الفلسفة الماركسية ، </w:t>
      </w:r>
      <w:r>
        <w:rPr>
          <w:rtl/>
          <w:lang w:bidi="ar-DZ"/>
        </w:rPr>
        <w:t>ص155.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ACE"/>
    <w:rsid w:val="00147ACE"/>
    <w:rsid w:val="0017256B"/>
    <w:rsid w:val="00256E8E"/>
    <w:rsid w:val="004D2FE7"/>
    <w:rsid w:val="0054783F"/>
    <w:rsid w:val="00940C40"/>
    <w:rsid w:val="00A15F90"/>
    <w:rsid w:val="00A23833"/>
    <w:rsid w:val="00C93340"/>
    <w:rsid w:val="00D6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ACE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147AC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147ACE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147AC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AD4BB-E253-42F0-8CE4-83859FDE6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1538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2</cp:revision>
  <dcterms:created xsi:type="dcterms:W3CDTF">2021-01-27T19:30:00Z</dcterms:created>
  <dcterms:modified xsi:type="dcterms:W3CDTF">2021-01-27T20:40:00Z</dcterms:modified>
</cp:coreProperties>
</file>