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CE" w:rsidRDefault="00147ACE" w:rsidP="00940C40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highlight w:val="yellow"/>
          <w:rtl/>
          <w:lang w:bidi="ar-DZ"/>
        </w:rPr>
        <w:t xml:space="preserve">النهج الجدلي المادي عند كارل ماركس : ( 1818م - 1883م) 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انطلق كارل ماركس كغيره من زعماء الفلسفة الغربية الحديثة في بناء منهجه المادي الجدلي من نقده لفلسفة عصره ، وبالتحديد فلسفة "هيجل" (1770/1831م) المثالية ، هذه الأخيرة التي كانت تقوم على ثنائية الذات والموضوع وانتماء كل واحد منهما إلى الآخر ،" إن كل ما  هو واقعي عقلاني وكل م اهو عقلاني واقعي " كما يقول هيجل ، وذلك انطلاقا من أن كل الظواهر مُدركة من طرف الذات ، فتكون بذلك الذات المدركة جزء من الموضوع المدرك والعكس صحيح ، ولا شك أن هذا التصور الهيجلي يرجع إلى فكرة أن العالم الحسي يفهم بالعقل ، وهو مجرد ظاهرة فقط أو مظهر خارجي للفكرة وثمرة لها ، وتصبح بذلك الذات (الفكرة) هي مبدأ الحقيقة.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من هذه النقطة بالتحديد ومن غيرها التي سنتكلم عنها في نشأة المادية الجدلية لاحقا ، كانت بداية كارل ماركس ، إذ حاول أن يرجع الأسبقية والأهمية للعالم الخارجي على العقل ، باعتبار أن الأول هو منبع وأصل المعرفة ، فكان طريقه في ذلك وضع المنهج الجدلي المادي وتفصيل ذلك فيما يلي :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 w:rsidRPr="0054783F">
        <w:rPr>
          <w:rFonts w:asciiTheme="majorBidi" w:hAnsiTheme="majorBidi" w:cs="Traditional Arabic" w:hint="cs"/>
          <w:b/>
          <w:bCs/>
          <w:sz w:val="36"/>
          <w:szCs w:val="36"/>
          <w:highlight w:val="yellow"/>
          <w:rtl/>
          <w:lang w:bidi="ar-DZ"/>
        </w:rPr>
        <w:t>المنهج المادي الجدلي :</w:t>
      </w:r>
    </w:p>
    <w:p w:rsidR="0054783F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الجدل أو الديالكتيك هو في الأصل مصطلح يوناني يعني </w:t>
      </w:r>
      <w:r w:rsidR="0054783F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" 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فن الحوار أو النقاش </w:t>
      </w:r>
      <w:r w:rsidR="0054783F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"، و بشير إلى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طريقة في الحوار تعتمد على الحجاج والمناظرة لغرض إ</w:t>
      </w:r>
      <w:r w:rsidR="0054783F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ثبات فكرة أو تبرير موقف ما 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="0054783F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إن الجدل قديم في تاريخ الفلسفة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عرف تطورات وخصائص كثيرة ، بداية من الجدل الفلسفي مع زينون الايلي إلى جدل أفلاطون ، والجدل كمنهج عند علماء الكلام ، ولا تخلو أي فلسفة عبر كل مراحلها التاريخية من الجدل سواء كمنهج علمي ، أو كأسلوب في الحوار. </w:t>
      </w:r>
    </w:p>
    <w:p w:rsidR="00147ACE" w:rsidRDefault="0054783F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lastRenderedPageBreak/>
        <w:t xml:space="preserve"> بلغ الجدل أوجه مع الفلسفة المثالية الألمانية مع هيجل الذي أصبح</w:t>
      </w:r>
      <w:r w:rsidR="00147ACE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منهجا فلسفيا متكاملا، وصولا إلى الجدل المادي مع كارل ماركس ، وهو موضوع بحثنا ، فما هو الجدل ، وما هي الجدلية المادية ؟ ولماذا هي مادية ؟.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 w:rsidRPr="0054783F">
        <w:rPr>
          <w:rFonts w:asciiTheme="majorBidi" w:hAnsiTheme="majorBidi" w:cs="Traditional Arabic" w:hint="cs"/>
          <w:b/>
          <w:bCs/>
          <w:sz w:val="36"/>
          <w:szCs w:val="36"/>
          <w:highlight w:val="yellow"/>
          <w:rtl/>
          <w:lang w:bidi="ar-DZ"/>
        </w:rPr>
        <w:t>نشأة المادية الجدلية :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قبل الإجابة على الأسئلة السابقة أود أن أشير إلى لمحة تاريخية موجزة عن نشأة المادية الجدلية التي كانت على يد كبار الفلاسفة الذين نظروا لها وعلى رأسهم كارل ماركس ، وفريديرك انجلز  (1820/1895) ، ثم تبعهم في ذلك فلاديمير لينين (1870/1924) ،وكان ذلك في أواخر القرن الثامن عشر وبداية القرن التاسع عشر في ألمانيا ، تزامن ذلك مع الحركات الشعبوية التحررية والنضال من أجل الانعتاق من العبودية ، كذلك عرفت هذه الفترة تطورا ملحوظا في العلوم خاصة في الكمياء والفزياء ، إذ عرف هذا العصر أكبر الاكتشافات العلمية في مجال الطاقة والخلية وكذلك نظرية تشارلز داروين (1809/1882) حول أصل وتطور الأنواع .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لقد كان لهذه الاكتشافات العلم</w:t>
      </w:r>
      <w:r w:rsidR="0054783F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ية دور في كبير في إعادة النظر إلى الطبيعة وتجاوز التصورات الميتافيزيقية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، و اعتبارا من ذلك أصبحت الطبيعة في حالة حركة وتحول دائمة ، وهذا بدوره يصدق على المجتمع فهو في حالة من التحول والتبدل كذلك ، والظاهرة عموما أيا كانت طبيعتها تتصف بتلك الخاصية ؛ أي التبدل والتحول . من هنا ظهرت الحاجة إلى تغيير التصور الميتافيزيقي عن الطبيعة والوجود إلى تصور جديد أكثر واقعية .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هذا وقد كانت الفلسفة السابقة على كارل ماركس وانجلز بمثابة الأرضية الخصبة التي انطلقا منها ، ونحن نتكلم هنا عن هيجل وفلسفته المثالية التي كانت تتضمن فكرة الجدل ، وعن فلسف</w:t>
      </w:r>
      <w:r w:rsidR="0054783F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ة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لودفيغ فيورباخ (1804/1872م) ، الذي انقلب على المثالية وأعطى تصورا ماديا للطبيعة .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lastRenderedPageBreak/>
        <w:t>من هنا كانت بداية المادية الجدلية التي هم أصحابها إلى نقد الفلسفة والعلم الإنساني</w:t>
      </w:r>
      <w:r w:rsidR="0054783F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وفق متطلبات عصرهم الثورية والنضالية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والداعية إلى الانعتاق  ، فخرجت الفلسفة الماركسية </w:t>
      </w:r>
      <w:r w:rsidR="0054783F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إلى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النور ومنها المادية الجدلية التي كانت بمثابة انطلاقة جديدة في العلم والفلسفة .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 w:rsidRPr="0054783F">
        <w:rPr>
          <w:rFonts w:asciiTheme="majorBidi" w:hAnsiTheme="majorBidi" w:cs="Traditional Arabic" w:hint="cs"/>
          <w:b/>
          <w:bCs/>
          <w:sz w:val="36"/>
          <w:szCs w:val="36"/>
          <w:highlight w:val="yellow"/>
          <w:rtl/>
          <w:lang w:bidi="ar-DZ"/>
        </w:rPr>
        <w:t>تعريف الجدل :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"المقصود بالجدل هو منهج فلسفي يدرس الواقع في صيرورته الدائمة في حركته "</w:t>
      </w:r>
      <w:r w:rsidRPr="00940C40">
        <w:rPr>
          <w:rStyle w:val="Appelnotedebasdep"/>
          <w:sz w:val="32"/>
          <w:szCs w:val="32"/>
          <w:rtl/>
          <w:lang w:bidi="ar-DZ"/>
        </w:rPr>
        <w:footnoteReference w:id="2"/>
      </w:r>
      <w:r w:rsidRPr="00940C40">
        <w:rPr>
          <w:rStyle w:val="Appelnotedebasdep"/>
          <w:rFonts w:hint="cs"/>
          <w:sz w:val="32"/>
          <w:szCs w:val="32"/>
          <w:rtl/>
        </w:rPr>
        <w:t xml:space="preserve"> 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، والجدل الماركسي هو:"علم أعم قوانين تطور الطبيعة والمجتمع والفكر الإنساني "</w:t>
      </w:r>
      <w:r w:rsidRPr="00940C40">
        <w:rPr>
          <w:rStyle w:val="Appelnotedebasdep"/>
          <w:sz w:val="32"/>
          <w:szCs w:val="32"/>
          <w:rtl/>
          <w:lang w:bidi="ar-DZ"/>
        </w:rPr>
        <w:footnoteReference w:id="3"/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.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نفهم مما سبق أن هذا الجدل الذي يضعه كارل ماركس يتوجه نحو المادة في تحولاتها وحركتها باعتبارها مبدأ ومنها يمكن أن نصل إلى المعرفة التامة بالأشياء ، فالمادة سابقة على الوعي .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 w:rsidRPr="0054783F">
        <w:rPr>
          <w:rFonts w:asciiTheme="majorBidi" w:hAnsiTheme="majorBidi" w:cs="Traditional Arabic" w:hint="cs"/>
          <w:b/>
          <w:bCs/>
          <w:sz w:val="36"/>
          <w:szCs w:val="36"/>
          <w:highlight w:val="yellow"/>
          <w:rtl/>
          <w:lang w:bidi="ar-DZ"/>
        </w:rPr>
        <w:t>المادية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:تعني " نظرة للعالم ، أي طريقة في فهم ظواهر الطبيعة </w:t>
      </w:r>
      <w:r w:rsidR="0017256B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وتأملها اعتمادا على مبادئ محدودة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، وكذلك فيما يتعلق بالظواهر الاجتماعية ، تصبح هذه "النظرة للعالم" في جميع الظروف ،فهي أساس عدد من العلوم ، وهي بهذا تكون تفسيرا عاما للعالم يجعل الأعمال العالمية أساسا متينا ولهذا فهي تكون نظرية "</w:t>
      </w:r>
      <w:r w:rsidRPr="0017256B">
        <w:rPr>
          <w:rStyle w:val="Appelnotedebasdep"/>
          <w:sz w:val="32"/>
          <w:szCs w:val="32"/>
          <w:rtl/>
          <w:lang w:bidi="ar-DZ"/>
        </w:rPr>
        <w:footnoteReference w:id="4"/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.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 w:rsidRPr="0017256B">
        <w:rPr>
          <w:rFonts w:asciiTheme="majorBidi" w:hAnsiTheme="majorBidi" w:cs="Traditional Arabic" w:hint="cs"/>
          <w:b/>
          <w:bCs/>
          <w:sz w:val="36"/>
          <w:szCs w:val="36"/>
          <w:highlight w:val="yellow"/>
          <w:rtl/>
          <w:lang w:bidi="ar-DZ"/>
        </w:rPr>
        <w:t>أما المادية الجدلية فهي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: "التي ترى أن الصورة لا يمكن أن توجد بدون محتوى معين، كما أن المحتوى لا يمكن أن يوجد بدون صورة معينة ، ولا يعني القول بأن المحتوى لا يمكن أن يوجد بدون الصورة أن الصورة هي التي تعينه وتحدده ، بل هو الذي يعينها ويحددها ، يعني ذلك أن الصورة ليست سابقة في الوجود ولا هي أزلية بل تتغير حسب التغيرات التي تطرأ على المحتوى . يتغير المحتوى أولا تتغير ظروف البيئية المحيطة به  ، ثم تتغير الصورة حسب تغيرات المحتوى ونمو التناقضات الداخلية في المحتوى ، نتج عن ذلك أن الصورة بدلا من أن تسبق النمو في الوجود 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lastRenderedPageBreak/>
        <w:t>تعكسه لنا فتتأخر بذلك عن الوجود عن المحتوى ، يسبق المحتوى الصورة خلال النمو ، وتتأخر الصورة عن المحتوى .ولا يمكن وجود المحتوى بدون الصورة</w:t>
      </w:r>
      <w:r w:rsidR="0017256B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، ومع ذلك فإ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ن ؛ الصورة لا تتفق تماما مع المحتوى لتأخرها عنه ولهذا يظهر المحتوى الجديد لاتخاذ الصورة القديمة مؤقتا فينشأ عن ذلك النزاع والصراع بينهما " </w:t>
      </w:r>
      <w:r w:rsidRPr="0017256B">
        <w:rPr>
          <w:rStyle w:val="Appelnotedebasdep"/>
          <w:rFonts w:asciiTheme="majorBidi" w:hAnsiTheme="majorBidi" w:cs="Traditional Arabic"/>
          <w:sz w:val="32"/>
          <w:szCs w:val="32"/>
          <w:rtl/>
          <w:lang w:bidi="ar-DZ"/>
        </w:rPr>
        <w:footnoteReference w:id="5"/>
      </w:r>
      <w:r w:rsidR="0017256B">
        <w:rPr>
          <w:rStyle w:val="Appelnotedebasdep"/>
          <w:rFonts w:hint="cs"/>
          <w:sz w:val="32"/>
          <w:szCs w:val="32"/>
          <w:rtl/>
        </w:rPr>
        <w:t>.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إن المادية الجدلية انطلقت من البحث في الظواهر الطبيعية على أساس أنها مادية ، وهي جدلية لأن جميع تلك الظواهر تتطور وتتحقق عبر قوى داخلية متعارضة ، عكس الجدلية المثالية تماما التي تعطي الأسبقية للوعي على المادة .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إن </w:t>
      </w:r>
      <w:r w:rsidRPr="0017256B">
        <w:rPr>
          <w:rFonts w:asciiTheme="majorBidi" w:hAnsiTheme="majorBidi" w:cs="Traditional Arabic" w:hint="cs"/>
          <w:b/>
          <w:bCs/>
          <w:sz w:val="36"/>
          <w:szCs w:val="36"/>
          <w:u w:val="single"/>
          <w:rtl/>
          <w:lang w:bidi="ar-DZ"/>
        </w:rPr>
        <w:t>الجدل الماركسي جدل مادي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يعطي الأولوية للعالم المادي على العقل ، بحيث تكون حركة الفكر نتاج حركة الواقع التي تٌتَرجم في عقل الإنسان على شكل أفكار وتصورات ، فهي بمعنى أوضح تنطلق من الواقع العلمي للظاهرة أي من المادة التي تخضع لقوانين ومبادئ معينة قائمة على العلم وتطور المجتمع ، ومنه يمكن أن نجمل خصائص النزعة المادية الجدلية في ثلاث عناصر أساسية </w:t>
      </w:r>
      <w:r w:rsidRPr="0017256B">
        <w:rPr>
          <w:rFonts w:asciiTheme="majorBidi" w:hAnsiTheme="majorBidi" w:cs="Traditional Arabic" w:hint="cs"/>
          <w:b/>
          <w:bCs/>
          <w:sz w:val="36"/>
          <w:szCs w:val="36"/>
          <w:highlight w:val="cyan"/>
          <w:rtl/>
          <w:lang w:bidi="ar-DZ"/>
        </w:rPr>
        <w:t>:" 1/العالم مادي بطبيعته .2/المادة هي المعطى الأول والوعي هو المعطى ثانوي مشتق منها .3/ يمكن معرفة العالم وقوانينه معرفة تامة "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</w:t>
      </w:r>
      <w:r w:rsidRPr="0017256B">
        <w:rPr>
          <w:rStyle w:val="Appelnotedebasdep"/>
          <w:rFonts w:asciiTheme="majorBidi" w:hAnsiTheme="majorBidi" w:cs="Traditional Arabic"/>
          <w:sz w:val="32"/>
          <w:szCs w:val="32"/>
          <w:rtl/>
          <w:lang w:bidi="ar-DZ"/>
        </w:rPr>
        <w:footnoteReference w:id="6"/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.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إن المادية الجدلية تقوم بدراسة التفاعلات والتبادلات القائمة في المادة ، وذلك وفق قوانين الديالكتيك التي تساعد الباحث على معرفة العلاقات القائمة بين الظواهر وتطورها ومعرفة أجزائها ، وهذه القوانين  هي " المتحكمة في حركة المادة وفي ارتقاء الطبيعة والحياة الاجتماعية والوعي الإنساني . وهذه القوانين هي الأشمل والأعم ، أي أن الأشياء كافة والظاهرات قاطبة تنصاع لها انصياعا مطلقا وهي تسمى قوانين الجدل "</w:t>
      </w:r>
      <w:r w:rsidRPr="0017256B">
        <w:rPr>
          <w:rStyle w:val="Appelnotedebasdep"/>
          <w:rFonts w:asciiTheme="majorBidi" w:hAnsiTheme="majorBidi" w:cs="Traditional Arabic"/>
          <w:sz w:val="32"/>
          <w:szCs w:val="32"/>
          <w:rtl/>
          <w:lang w:bidi="ar-DZ"/>
        </w:rPr>
        <w:footnoteReference w:id="7"/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.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lastRenderedPageBreak/>
        <w:t xml:space="preserve">إن هذه القوانين مترابطة فيما بينها ومرتبة بشكل متسلسل فهي تمثل وحدة متناسقة رغم تعددها ، وعلى الباحث أن يلتزم بها في محاولات فهمه للواقع ، وهي على الترتيب التالي : 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1/قانون التحول في الكيف والكم .2/قانون وحدة صراع الأضداد .3/ قانون نفي النفي .وتفصيل مضمون قوانين الديالكتيك فيما يلي :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 w:rsidRPr="0017256B">
        <w:rPr>
          <w:rFonts w:asciiTheme="majorBidi" w:hAnsiTheme="majorBidi" w:cs="Traditional Arabic" w:hint="cs"/>
          <w:b/>
          <w:bCs/>
          <w:sz w:val="36"/>
          <w:szCs w:val="36"/>
          <w:highlight w:val="yellow"/>
          <w:rtl/>
          <w:lang w:bidi="ar-DZ"/>
        </w:rPr>
        <w:t>قوانين الجدل المادي الماركسي :</w:t>
      </w:r>
    </w:p>
    <w:p w:rsidR="00147ACE" w:rsidRPr="0017256B" w:rsidRDefault="0017256B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 w:rsidRPr="0017256B">
        <w:rPr>
          <w:rFonts w:asciiTheme="majorBidi" w:hAnsiTheme="majorBidi" w:cs="Traditional Arabic" w:hint="cs"/>
          <w:b/>
          <w:bCs/>
          <w:sz w:val="36"/>
          <w:szCs w:val="36"/>
          <w:highlight w:val="cyan"/>
          <w:rtl/>
          <w:lang w:bidi="ar-DZ"/>
        </w:rPr>
        <w:t>أ</w:t>
      </w:r>
      <w:r w:rsidR="00147ACE" w:rsidRPr="0017256B">
        <w:rPr>
          <w:rFonts w:asciiTheme="majorBidi" w:hAnsiTheme="majorBidi" w:cs="Traditional Arabic" w:hint="cs"/>
          <w:b/>
          <w:bCs/>
          <w:sz w:val="36"/>
          <w:szCs w:val="36"/>
          <w:highlight w:val="cyan"/>
          <w:rtl/>
          <w:lang w:bidi="ar-DZ"/>
        </w:rPr>
        <w:t xml:space="preserve"> / قانون التحول في الكيف والكم :</w:t>
      </w:r>
      <w:r w:rsidR="00147ACE" w:rsidRPr="0017256B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يرصد هذا القانون التغيرات التي تحدث عل مستوى الكم والكيف ، فالظاهرة الطبيعية تعرف تغيرات كثيرة من حيث التطور فتظهر عليها الزيادة والنقصان مثلا ، وذلك ناتج عن تفاعل وتصارع بين عناصرها . عندما تصل هذه الظاهرة إلى مستوى نهاية التغير الكمي ، يظهر عليها تغيرا كيفيا بالضرورة ، وهذا التحول هو بمثابة "قفزة " أو "طفرة ". 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وعليه يكون هذا التحول النوعي الذي يحدد صفات وخصائص الظاهرة ناتجا عن التّغير الكمي لها ، والذي يحدث بشكل متواصل إلى حين مرحلة النهاية والاستكمال .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إن هذا القانون يبين طبيعة التطور الموجودة في الظاهرة ، وبه نعرف كيفية النشوء وكيفية النمو والتحول . ويمكن أن نلخص هذا القانون فيما يلي :"إن التغيرات الكمية الطفيفة غير المحسوسة في البدء تؤدي بتراكمها التدريجي ، وفي لحظة معينة إلى تغيرات نوعية جذرية ، تختفي على إثرها النوعية القديمة ، وتظهر نوعية جديدة تفضي بدورها إلى تغيرات كمية جديدة " </w:t>
      </w:r>
      <w:r w:rsidRPr="0017256B">
        <w:rPr>
          <w:rStyle w:val="Appelnotedebasdep"/>
          <w:rFonts w:asciiTheme="majorBidi" w:hAnsiTheme="majorBidi" w:cs="Traditional Arabic"/>
          <w:sz w:val="32"/>
          <w:szCs w:val="32"/>
          <w:rtl/>
          <w:lang w:bidi="ar-DZ"/>
        </w:rPr>
        <w:footnoteReference w:id="8"/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.</w:t>
      </w:r>
    </w:p>
    <w:p w:rsidR="00147ACE" w:rsidRDefault="0017256B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 w:rsidRPr="0017256B">
        <w:rPr>
          <w:rFonts w:asciiTheme="majorBidi" w:hAnsiTheme="majorBidi" w:cs="Traditional Arabic" w:hint="cs"/>
          <w:b/>
          <w:bCs/>
          <w:sz w:val="36"/>
          <w:szCs w:val="36"/>
          <w:highlight w:val="cyan"/>
          <w:rtl/>
          <w:lang w:bidi="ar-DZ"/>
        </w:rPr>
        <w:t>ب</w:t>
      </w:r>
      <w:r w:rsidR="00147ACE" w:rsidRPr="0017256B">
        <w:rPr>
          <w:rFonts w:asciiTheme="majorBidi" w:hAnsiTheme="majorBidi" w:cs="Traditional Arabic" w:hint="cs"/>
          <w:b/>
          <w:bCs/>
          <w:sz w:val="36"/>
          <w:szCs w:val="36"/>
          <w:highlight w:val="cyan"/>
          <w:rtl/>
          <w:lang w:bidi="ar-DZ"/>
        </w:rPr>
        <w:t xml:space="preserve"> / قانون وحدة صراع الأضداد :</w:t>
      </w:r>
      <w:r w:rsidR="00147ACE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lastRenderedPageBreak/>
        <w:t>يقوم هذا القانون على جدلية الصراع بين الأضداد فيما بينها ، وهو صراع ملازم لاستمرار النوع البشري ، أو الظاهرة عموما أيا كانت طبيعتها ، فكل شيء يحمل في ذاته نقيضه ، بداية ونهاية /حياة موت ...، وفي هذا التناقض تكون وحدة الشيء التي هي في صراع داخلي مستمر ومتواصل .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إن الصراع هو سبب حدوث التغيرات الكمية التي تكلمنا عنها في القانون السابق ، ومنها تحدث التغيرات الكيفية من حيث الصفات والخصائص .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يفضي هذا القانون إلى أن الوحدة هي شرط أساسي للصراع القائم بين الأضداد ، وإن كانت تحمل في داخلها تناقضات فهي في ذلك تتحقق ، فهذا القانون يكشف عن مصدر الصراع في الظواهر المتمثل في الأضداد القائمة فيها ، والتي رغم تناقضها تشكل وحدة ، ومن ثمة تكُون الوحدة ضرورية هي الأخرى وأساسية في استمرار الظاهرة وتطورها .  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مما سبق نخلص إل أن الجدل الماركسي هو صراع يتجه نحو الأعلى ، وبه تصبح الظاهرة أكثر تميزا وتعقيدا مما كانت عليه ، ومنه " يكمن جوهر قانون وحدة الأضداد وصراعها ، في كون التناقضات الداخلية ملازمة لكل شيء ولكل سيرورة ، وهذه التناقضات هي في حالة وحدة ، وفي الوقت نفسه في حالة صراع دائم "</w:t>
      </w:r>
      <w:r w:rsidRPr="0017256B">
        <w:rPr>
          <w:rStyle w:val="Appelnotedebasdep"/>
          <w:rFonts w:asciiTheme="majorBidi" w:hAnsiTheme="majorBidi" w:cs="Traditional Arabic"/>
          <w:sz w:val="32"/>
          <w:szCs w:val="32"/>
          <w:rtl/>
          <w:lang w:bidi="ar-DZ"/>
        </w:rPr>
        <w:footnoteReference w:id="9"/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.</w:t>
      </w:r>
    </w:p>
    <w:p w:rsidR="00147ACE" w:rsidRDefault="0017256B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 w:rsidRPr="0017256B">
        <w:rPr>
          <w:rFonts w:asciiTheme="majorBidi" w:hAnsiTheme="majorBidi" w:cs="Traditional Arabic" w:hint="cs"/>
          <w:b/>
          <w:bCs/>
          <w:sz w:val="36"/>
          <w:szCs w:val="36"/>
          <w:highlight w:val="cyan"/>
          <w:rtl/>
          <w:lang w:bidi="ar-DZ"/>
        </w:rPr>
        <w:t>ج</w:t>
      </w:r>
      <w:r w:rsidR="00147ACE" w:rsidRPr="0017256B">
        <w:rPr>
          <w:rFonts w:asciiTheme="majorBidi" w:hAnsiTheme="majorBidi" w:cs="Traditional Arabic" w:hint="cs"/>
          <w:b/>
          <w:bCs/>
          <w:sz w:val="36"/>
          <w:szCs w:val="36"/>
          <w:highlight w:val="cyan"/>
          <w:rtl/>
          <w:lang w:bidi="ar-DZ"/>
        </w:rPr>
        <w:t xml:space="preserve"> / قانون نفي النفي :</w:t>
      </w:r>
      <w:r w:rsidR="00147ACE"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يقوم هذا القانون على مبدأ تطوّر الظّاهرة عند بلوغها الدّرجة الأخيرة من التّحوّل والتّغيّر : " القفزة " ، فتظهر حالة جديدة تنفي سابقتها ، أو بالأحرى تختلف عن الظّاهرة في بداية الأمر .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إنّ هذا النّفي لا يعني انعدام الظّاهرة بل هو تطوّر لها ، يكون أكثر كمالا وأكثر نضجا مع بقاء الجوانب الإيجابيّة الأولى وهكذا يحدث التّطوّر وهو خروج من حالة إلى نقيض لها ، وهكذا . 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lastRenderedPageBreak/>
        <w:t xml:space="preserve">يكمن جوهر قانون نفي النّفي فيما يلي : " خلال سيرورة التّطوّر تُنْفى كلّ درجة عليا وتزيح الدّرجة السّابقة ، لكنّها ترفعها في الوقت نفسه إلى مستوى جديد وتصون كلّ المضمون الإيجابيّ المكتسب أثناء تطوّرها " </w:t>
      </w:r>
      <w:r w:rsidRPr="0017256B">
        <w:rPr>
          <w:rStyle w:val="Appelnotedebasdep"/>
          <w:rFonts w:asciiTheme="majorBidi" w:hAnsiTheme="majorBidi" w:cs="Traditional Arabic"/>
          <w:sz w:val="32"/>
          <w:szCs w:val="32"/>
          <w:rtl/>
          <w:lang w:bidi="ar-DZ"/>
        </w:rPr>
        <w:footnoteReference w:id="10"/>
      </w:r>
      <w:r w:rsidRPr="0017256B">
        <w:rPr>
          <w:rStyle w:val="Appelnotedebasdep"/>
          <w:rFonts w:hint="cs"/>
          <w:sz w:val="32"/>
          <w:szCs w:val="32"/>
          <w:rtl/>
        </w:rPr>
        <w:t xml:space="preserve"> 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. 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إنّ هذا القانون يؤسّس لمبدأ التّطوّر الّذي لا يمكن أن يحصل حصولا إيجابيّا إلّا عن طريق تجاوز العناصر السّلبيّة في الظّاهرة والإبقاء على ما هو إيجابيّ فقط ، ومن ثمّة السّموّ بالظّاهرة نحو نقيض جديد أكثر فاعليّة ، كالتّحوّل مثلا من نظام الدّولة القديمة إلى نظام الدّولة الحديثة . 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خلاصة : تتمثّل أهمّية منهج كارل ماركس في توجيه الفكر نحو الواقع ، وهو توجّه نحو فلسفة مادّيّة جديدة تقضي على كلّ أنواع الفكر المثاليّ النّظريّ وعلى الأفكار الميتافيزيقيّة ، إنّها فلسفة مادّيّة تجعل من الواقع موضوعا لها ، وهي جدليّة من حيث أنّها تتّجه نحو التّناقضات والتّحوّلات والصّراع القائم في داخل الظاهرة لمحاولة فهمها وإقامة معرفة جديدة حولها .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من هنا يظهر البعد الفلسفيّ الّذي أراده كارل ماركس للخروج من التّصوّرات الميتافيزيقيّة ، فلا يمكن أن نحمل ما هو مشاهد محسوس ماديّ إلى جعله متعاليا على مستوى الذّات والوعي .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إنّ المادّة مع المنهج الجدليّ متحرّكة بحركة جدليّة داخليّة ، وفي هذا ردّ على التّصوّر الّذي يعتقد أنّ المادّة ساكنة ، ذلك أنّ : " المادّيّة القديمة ميتافيزيقيّة كانت ترى إلى الطّبيعة على أنّها ساكنة ثابتة ، من ذلك على سبيل المثال أنّهم كانوا في القرنين السّابع عشر والثّامن عشر يعتبرون أنّ الشّمس والكواكب وأفلاكها لا تتعرّض بأيّ تغيّر ، وكان التّصوّر عينه عن الطّبيعة قد رسخ في الأذهان "</w:t>
      </w:r>
      <w:r w:rsidRPr="0017256B">
        <w:rPr>
          <w:rStyle w:val="Appelnotedebasdep"/>
          <w:rFonts w:asciiTheme="majorBidi" w:hAnsiTheme="majorBidi" w:cs="Traditional Arabic"/>
          <w:sz w:val="32"/>
          <w:szCs w:val="32"/>
          <w:rtl/>
          <w:lang w:bidi="ar-DZ"/>
        </w:rPr>
        <w:footnoteReference w:id="11"/>
      </w:r>
      <w:r w:rsidRPr="0017256B">
        <w:rPr>
          <w:rStyle w:val="Appelnotedebasdep"/>
          <w:rFonts w:hint="cs"/>
          <w:sz w:val="32"/>
          <w:szCs w:val="32"/>
          <w:rtl/>
        </w:rPr>
        <w:t xml:space="preserve"> </w:t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>.</w:t>
      </w:r>
    </w:p>
    <w:p w:rsidR="00147ACE" w:rsidRDefault="00147ACE" w:rsidP="00147AC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lastRenderedPageBreak/>
        <w:t>إنّ الجدل الماديّ هو جدل علميّ لأنّه : " اتّحد عضويّا بالمّادّة ، وهذا الاتّحاد بين الجدل والمادّيّة يتحقّق في الفلسفة الماركسيّة في المادّيّة الجدليّة "</w:t>
      </w:r>
      <w:r w:rsidRPr="0017256B">
        <w:rPr>
          <w:rStyle w:val="Appelnotedebasdep"/>
          <w:rFonts w:asciiTheme="majorBidi" w:hAnsiTheme="majorBidi" w:cs="Traditional Arabic"/>
          <w:sz w:val="32"/>
          <w:szCs w:val="32"/>
          <w:rtl/>
          <w:lang w:bidi="ar-DZ"/>
        </w:rPr>
        <w:footnoteReference w:id="12"/>
      </w: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 .</w:t>
      </w:r>
    </w:p>
    <w:p w:rsidR="00147ACE" w:rsidRDefault="00147ACE" w:rsidP="0017256B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6"/>
          <w:szCs w:val="36"/>
          <w:rtl/>
          <w:lang w:bidi="ar-DZ"/>
        </w:rPr>
        <w:t xml:space="preserve">" لقد استطاعت النّزعة المادّيّة الجدلّيّة أن تفسّر الظّواهر تفسيرا مرضيا فدلّت على أنّ هذه الظّواهر ، إنّما هي صورة لحركة المادّة ، وأنّ المادّة لا تستطيع فقط إحداث الحركة بل تستطيع أيضا إحداث تغيّرات نوعيّة ، وأنّها تملك ديناميكيّة داخليّة نشيطة وقدرة على الخلق ، تعتمد على وجود التّناقض داخل الأشياء ذاتها " </w:t>
      </w:r>
      <w:r w:rsidR="0017256B">
        <w:rPr>
          <w:rStyle w:val="Appelnotedebasdep"/>
          <w:rFonts w:asciiTheme="majorBidi" w:hAnsiTheme="majorBidi" w:cs="Traditional Arabic"/>
          <w:b/>
          <w:bCs/>
          <w:sz w:val="36"/>
          <w:szCs w:val="36"/>
          <w:rtl/>
          <w:lang w:bidi="ar-DZ"/>
        </w:rPr>
        <w:footnoteReference w:id="13"/>
      </w:r>
      <w:r w:rsidR="0017256B">
        <w:rPr>
          <w:rFonts w:hint="cs"/>
          <w:b/>
          <w:bCs/>
          <w:sz w:val="36"/>
          <w:szCs w:val="36"/>
          <w:rtl/>
        </w:rPr>
        <w:t>.</w:t>
      </w:r>
    </w:p>
    <w:p w:rsidR="00D61797" w:rsidRDefault="00D61797">
      <w:pPr>
        <w:rPr>
          <w:lang w:bidi="ar-DZ"/>
        </w:rPr>
      </w:pPr>
    </w:p>
    <w:sectPr w:rsidR="00D61797" w:rsidSect="00D61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E8E" w:rsidRDefault="00256E8E" w:rsidP="00147ACE">
      <w:pPr>
        <w:spacing w:after="0" w:line="240" w:lineRule="auto"/>
      </w:pPr>
      <w:r>
        <w:separator/>
      </w:r>
    </w:p>
  </w:endnote>
  <w:endnote w:type="continuationSeparator" w:id="1">
    <w:p w:rsidR="00256E8E" w:rsidRDefault="00256E8E" w:rsidP="0014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E8E" w:rsidRDefault="00256E8E" w:rsidP="00147ACE">
      <w:pPr>
        <w:spacing w:after="0" w:line="240" w:lineRule="auto"/>
      </w:pPr>
      <w:r>
        <w:separator/>
      </w:r>
    </w:p>
  </w:footnote>
  <w:footnote w:type="continuationSeparator" w:id="1">
    <w:p w:rsidR="00256E8E" w:rsidRDefault="00256E8E" w:rsidP="00147ACE">
      <w:pPr>
        <w:spacing w:after="0" w:line="240" w:lineRule="auto"/>
      </w:pPr>
      <w:r>
        <w:continuationSeparator/>
      </w:r>
    </w:p>
  </w:footnote>
  <w:footnote w:id="2">
    <w:p w:rsidR="00147ACE" w:rsidRDefault="00147ACE" w:rsidP="00147ACE">
      <w:pPr>
        <w:pStyle w:val="Notedebasdepage"/>
        <w:rPr>
          <w:rtl/>
          <w:lang w:bidi="ar-DZ"/>
        </w:rPr>
      </w:pPr>
      <w:r>
        <w:rPr>
          <w:rtl/>
        </w:rPr>
        <w:t xml:space="preserve"> </w:t>
      </w: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tl/>
          <w:lang w:bidi="ar-DZ"/>
        </w:rPr>
        <w:t>-</w:t>
      </w:r>
      <w:r>
        <w:rPr>
          <w:rFonts w:ascii="Helvetica" w:hAnsi="Helvetica"/>
          <w:color w:val="333333"/>
          <w:sz w:val="23"/>
          <w:szCs w:val="23"/>
          <w:rtl/>
          <w:lang w:bidi="ar-DZ"/>
        </w:rPr>
        <w:t xml:space="preserve"> </w:t>
      </w:r>
      <w:r>
        <w:rPr>
          <w:rFonts w:asciiTheme="majorBidi" w:hAnsiTheme="majorBidi" w:cs="Traditional Arabic" w:hint="cs"/>
          <w:sz w:val="28"/>
          <w:szCs w:val="28"/>
          <w:rtl/>
          <w:lang w:bidi="ar-DZ"/>
        </w:rPr>
        <w:t xml:space="preserve">فاسيلي بودوستنيك وأوفشي ياخوت ، ألف باء المادية الجدلية </w:t>
      </w:r>
      <w:r>
        <w:rPr>
          <w:rFonts w:asciiTheme="majorBidi" w:hAnsiTheme="majorBidi" w:cs="Traditional Arabic" w:hint="cs"/>
          <w:rtl/>
          <w:lang w:bidi="ar-DZ"/>
        </w:rPr>
        <w:t>،ص12.</w:t>
      </w:r>
    </w:p>
  </w:footnote>
  <w:footnote w:id="3">
    <w:p w:rsidR="00147ACE" w:rsidRDefault="00147ACE" w:rsidP="00147ACE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- المرجع نفسه ، ص46 .</w:t>
      </w:r>
    </w:p>
  </w:footnote>
  <w:footnote w:id="4">
    <w:p w:rsidR="00147ACE" w:rsidRDefault="00147ACE" w:rsidP="00147ACE">
      <w:pPr>
        <w:tabs>
          <w:tab w:val="left" w:pos="2937"/>
        </w:tabs>
        <w:ind w:left="-1134" w:right="-851" w:firstLine="283"/>
        <w:jc w:val="both"/>
        <w:rPr>
          <w:rFonts w:asciiTheme="majorBidi" w:hAnsiTheme="majorBidi" w:cs="Traditional Arabic"/>
          <w:sz w:val="28"/>
          <w:szCs w:val="28"/>
          <w:lang w:bidi="ar-DZ"/>
        </w:rPr>
      </w:pPr>
      <w:r>
        <w:rPr>
          <w:rtl/>
        </w:rPr>
        <w:t xml:space="preserve">    </w:t>
      </w: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tl/>
          <w:lang w:bidi="ar-DZ"/>
        </w:rPr>
        <w:t xml:space="preserve">-  </w:t>
      </w:r>
      <w:r>
        <w:rPr>
          <w:rFonts w:asciiTheme="majorBidi" w:hAnsiTheme="majorBidi" w:cs="Traditional Arabic" w:hint="cs"/>
          <w:sz w:val="28"/>
          <w:szCs w:val="28"/>
          <w:rtl/>
          <w:lang w:bidi="ar-DZ"/>
        </w:rPr>
        <w:t>جورج بوليتزر وجي بيس، موريس كافين. أصول الفلسفة الماركسية، الجزء الأول  تعريب شعبان بركات ،المكتبة العصرية،</w:t>
      </w:r>
      <w:r>
        <w:rPr>
          <w:rFonts w:asciiTheme="majorBidi" w:hAnsiTheme="majorBidi" w:cs="Traditional Arabic"/>
          <w:sz w:val="28"/>
          <w:szCs w:val="28"/>
          <w:lang w:bidi="ar-DZ"/>
        </w:rPr>
        <w:t xml:space="preserve"> </w:t>
      </w:r>
      <w:r>
        <w:rPr>
          <w:rFonts w:asciiTheme="majorBidi" w:hAnsiTheme="majorBidi" w:cs="Traditional Arabic" w:hint="cs"/>
          <w:sz w:val="28"/>
          <w:szCs w:val="28"/>
          <w:rtl/>
          <w:lang w:bidi="ar-DZ"/>
        </w:rPr>
        <w:t xml:space="preserve">بيروت </w:t>
      </w:r>
      <w:r>
        <w:rPr>
          <w:rFonts w:asciiTheme="majorBidi" w:hAnsiTheme="majorBidi" w:cs="Traditional Arabic" w:hint="cs"/>
          <w:rtl/>
          <w:lang w:bidi="ar-DZ"/>
        </w:rPr>
        <w:t>،ص138</w:t>
      </w:r>
      <w:r>
        <w:rPr>
          <w:rFonts w:asciiTheme="majorBidi" w:hAnsiTheme="majorBidi" w:cs="Traditional Arabic" w:hint="cs"/>
          <w:sz w:val="28"/>
          <w:szCs w:val="28"/>
          <w:rtl/>
          <w:lang w:bidi="ar-DZ"/>
        </w:rPr>
        <w:t>.</w:t>
      </w:r>
    </w:p>
  </w:footnote>
  <w:footnote w:id="5">
    <w:p w:rsidR="00147ACE" w:rsidRDefault="00147ACE" w:rsidP="00147ACE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- </w:t>
      </w:r>
      <w:r>
        <w:rPr>
          <w:rFonts w:asciiTheme="majorBidi" w:hAnsiTheme="majorBidi" w:cs="Traditional Arabic" w:hint="cs"/>
          <w:sz w:val="28"/>
          <w:szCs w:val="28"/>
          <w:rtl/>
          <w:lang w:bidi="ar-DZ"/>
        </w:rPr>
        <w:t>جورج بوليتزر وجي بيس، موريس كافين. أصول الفلسفة الماركسية ، ص160.</w:t>
      </w:r>
    </w:p>
  </w:footnote>
  <w:footnote w:id="6">
    <w:p w:rsidR="00147ACE" w:rsidRDefault="00147ACE" w:rsidP="00147ACE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tl/>
          <w:lang w:bidi="ar-DZ"/>
        </w:rPr>
        <w:t xml:space="preserve">- </w:t>
      </w:r>
      <w:r>
        <w:rPr>
          <w:rFonts w:asciiTheme="majorBidi" w:hAnsiTheme="majorBidi" w:cs="Traditional Arabic" w:hint="cs"/>
          <w:sz w:val="28"/>
          <w:szCs w:val="28"/>
          <w:rtl/>
          <w:lang w:bidi="ar-DZ"/>
        </w:rPr>
        <w:t>جورج بوليتزر وجي بيس، موريس كافين. أصول الفلسفة الماركسية ، 147.</w:t>
      </w:r>
    </w:p>
  </w:footnote>
  <w:footnote w:id="7">
    <w:p w:rsidR="00147ACE" w:rsidRDefault="00147ACE" w:rsidP="00147ACE">
      <w:pPr>
        <w:pStyle w:val="Notedebasdepage"/>
        <w:rPr>
          <w:lang w:bidi="ar-DZ"/>
        </w:rPr>
      </w:pPr>
      <w:r>
        <w:rPr>
          <w:rFonts w:asciiTheme="majorBidi" w:hAnsiTheme="majorBidi" w:cs="Traditional Arabic"/>
          <w:sz w:val="22"/>
          <w:szCs w:val="22"/>
          <w:lang w:bidi="ar-DZ"/>
        </w:rPr>
        <w:footnoteRef/>
      </w:r>
      <w:r>
        <w:rPr>
          <w:rtl/>
        </w:rPr>
        <w:t xml:space="preserve">  </w:t>
      </w:r>
      <w:r>
        <w:rPr>
          <w:rtl/>
          <w:lang w:bidi="ar-DZ"/>
        </w:rPr>
        <w:t>-</w:t>
      </w:r>
      <w:r>
        <w:rPr>
          <w:rFonts w:ascii="Helvetica" w:hAnsi="Helvetica"/>
          <w:color w:val="333333"/>
          <w:sz w:val="23"/>
          <w:szCs w:val="23"/>
          <w:rtl/>
          <w:lang w:bidi="ar-DZ"/>
        </w:rPr>
        <w:t xml:space="preserve"> </w:t>
      </w:r>
      <w:r>
        <w:rPr>
          <w:rFonts w:asciiTheme="majorBidi" w:hAnsiTheme="majorBidi" w:cs="Traditional Arabic" w:hint="cs"/>
          <w:sz w:val="28"/>
          <w:szCs w:val="28"/>
          <w:rtl/>
          <w:lang w:bidi="ar-DZ"/>
        </w:rPr>
        <w:t>فاسيلي بودوستنيك وأوفشي ياخوت ، ألف باء المادية الجدلية ، ص 46.</w:t>
      </w:r>
    </w:p>
  </w:footnote>
  <w:footnote w:id="8">
    <w:p w:rsidR="00147ACE" w:rsidRDefault="00147ACE" w:rsidP="00147ACE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tl/>
          <w:lang w:bidi="ar-DZ"/>
        </w:rPr>
        <w:t xml:space="preserve">- </w:t>
      </w:r>
      <w:r>
        <w:rPr>
          <w:rFonts w:asciiTheme="majorBidi" w:hAnsiTheme="majorBidi" w:cs="Traditional Arabic" w:hint="cs"/>
          <w:sz w:val="28"/>
          <w:szCs w:val="28"/>
          <w:rtl/>
          <w:lang w:bidi="ar-DZ"/>
        </w:rPr>
        <w:t>فاسيلي بودوستنيك وأوفشي ياخوت ، ألف باء المادية الجدلية ، ص54.</w:t>
      </w:r>
    </w:p>
  </w:footnote>
  <w:footnote w:id="9">
    <w:p w:rsidR="00147ACE" w:rsidRDefault="00147ACE" w:rsidP="00147ACE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- </w:t>
      </w:r>
      <w:r>
        <w:rPr>
          <w:rFonts w:asciiTheme="majorBidi" w:hAnsiTheme="majorBidi" w:cs="Traditional Arabic" w:hint="cs"/>
          <w:sz w:val="28"/>
          <w:szCs w:val="28"/>
          <w:rtl/>
          <w:lang w:bidi="ar-DZ"/>
        </w:rPr>
        <w:t>فاسيلي بودوستنيك وأوفشي ياخوت ، ألف باء المادية الجدلية، ص61.</w:t>
      </w:r>
    </w:p>
  </w:footnote>
  <w:footnote w:id="10">
    <w:p w:rsidR="00147ACE" w:rsidRDefault="00147ACE" w:rsidP="00147ACE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tl/>
          <w:lang w:bidi="ar-DZ"/>
        </w:rPr>
        <w:t xml:space="preserve">- </w:t>
      </w:r>
      <w:r>
        <w:rPr>
          <w:rFonts w:asciiTheme="majorBidi" w:hAnsiTheme="majorBidi" w:cs="Traditional Arabic" w:hint="cs"/>
          <w:sz w:val="28"/>
          <w:szCs w:val="28"/>
          <w:rtl/>
          <w:lang w:bidi="ar-DZ"/>
        </w:rPr>
        <w:t>فاسيلي بودوستنيك وأوفشي ياخوت ، ألف باء المادية الجدلية ، ص66.</w:t>
      </w:r>
    </w:p>
  </w:footnote>
  <w:footnote w:id="11">
    <w:p w:rsidR="00147ACE" w:rsidRDefault="00147ACE" w:rsidP="00147ACE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asciiTheme="majorBidi" w:hAnsiTheme="majorBidi" w:cs="Traditional Arabic" w:hint="cs"/>
          <w:sz w:val="28"/>
          <w:szCs w:val="28"/>
          <w:rtl/>
          <w:lang w:bidi="ar-DZ"/>
        </w:rPr>
        <w:t>فاسيلي بودوستنيك وأوفشي ياخوت ، ألف باء المادية الجدلية ، ص18.</w:t>
      </w:r>
    </w:p>
  </w:footnote>
  <w:footnote w:id="12">
    <w:p w:rsidR="00147ACE" w:rsidRDefault="00147ACE" w:rsidP="00147ACE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tl/>
          <w:lang w:bidi="ar-DZ"/>
        </w:rPr>
        <w:t xml:space="preserve">- </w:t>
      </w:r>
      <w:r>
        <w:rPr>
          <w:rFonts w:asciiTheme="majorBidi" w:hAnsiTheme="majorBidi" w:cs="Traditional Arabic" w:hint="cs"/>
          <w:sz w:val="28"/>
          <w:szCs w:val="28"/>
          <w:rtl/>
          <w:lang w:bidi="ar-DZ"/>
        </w:rPr>
        <w:t>فاسيلي بودوستنيك وأوفشي ياخوت ، ألف باء المادية الجدلية ، ص13.</w:t>
      </w:r>
    </w:p>
  </w:footnote>
  <w:footnote w:id="13">
    <w:p w:rsidR="0017256B" w:rsidRDefault="0017256B">
      <w:pPr>
        <w:pStyle w:val="Notedebasdepage"/>
        <w:rPr>
          <w:rFonts w:hint="cs"/>
        </w:rPr>
      </w:pPr>
      <w:r>
        <w:rPr>
          <w:rStyle w:val="Appelnotedebasdep"/>
        </w:rPr>
        <w:footnoteRef/>
      </w:r>
      <w:r>
        <w:rPr>
          <w:rtl/>
        </w:rPr>
        <w:t xml:space="preserve"> - </w:t>
      </w:r>
      <w:r>
        <w:rPr>
          <w:rFonts w:asciiTheme="majorBidi" w:hAnsiTheme="majorBidi" w:cs="Traditional Arabic" w:hint="cs"/>
          <w:sz w:val="28"/>
          <w:szCs w:val="28"/>
          <w:rtl/>
          <w:lang w:bidi="ar-DZ"/>
        </w:rPr>
        <w:t xml:space="preserve">جورج بوليتزر وجي بيس، موريس كافين. أصول الفلسفة الماركسية ، </w:t>
      </w:r>
      <w:r>
        <w:rPr>
          <w:rtl/>
          <w:lang w:bidi="ar-DZ"/>
        </w:rPr>
        <w:t>ص155.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ACE"/>
    <w:rsid w:val="00147ACE"/>
    <w:rsid w:val="0017256B"/>
    <w:rsid w:val="00256E8E"/>
    <w:rsid w:val="004D2FE7"/>
    <w:rsid w:val="0054783F"/>
    <w:rsid w:val="00940C40"/>
    <w:rsid w:val="00A15F90"/>
    <w:rsid w:val="00A23833"/>
    <w:rsid w:val="00C93340"/>
    <w:rsid w:val="00D6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851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ACE"/>
    <w:pPr>
      <w:bidi/>
      <w:spacing w:after="200" w:line="276" w:lineRule="auto"/>
      <w:ind w:left="0" w:right="0"/>
      <w:jc w:val="left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rsid w:val="00147AC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147ACE"/>
    <w:rPr>
      <w:rFonts w:eastAsiaTheme="minorEastAsia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147A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AD4BB-E253-42F0-8CE4-83859FDE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1538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xphtx</dc:creator>
  <cp:keywords/>
  <dc:description/>
  <cp:lastModifiedBy>xphtx</cp:lastModifiedBy>
  <cp:revision>2</cp:revision>
  <dcterms:created xsi:type="dcterms:W3CDTF">2021-01-27T19:30:00Z</dcterms:created>
  <dcterms:modified xsi:type="dcterms:W3CDTF">2021-01-27T20:40:00Z</dcterms:modified>
</cp:coreProperties>
</file>