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61" w:rsidRDefault="00184461" w:rsidP="00184461">
      <w:pPr>
        <w:pStyle w:val="SimplifiedArabicStyle"/>
        <w:jc w:val="center"/>
        <w:rPr>
          <w:rFonts w:cs="Andalus"/>
          <w:b/>
          <w:bCs/>
          <w:sz w:val="56"/>
          <w:szCs w:val="56"/>
          <w:rtl/>
        </w:rPr>
      </w:pPr>
      <w:r w:rsidRPr="002F729D">
        <w:rPr>
          <w:rFonts w:cs="Andalus" w:hint="cs"/>
          <w:b/>
          <w:bCs/>
          <w:sz w:val="56"/>
          <w:szCs w:val="56"/>
          <w:rtl/>
        </w:rPr>
        <w:t xml:space="preserve">الثقافة: إشكالات </w:t>
      </w:r>
      <w:proofErr w:type="spellStart"/>
      <w:r w:rsidRPr="002F729D">
        <w:rPr>
          <w:rFonts w:cs="Andalus" w:hint="cs"/>
          <w:b/>
          <w:bCs/>
          <w:sz w:val="56"/>
          <w:szCs w:val="56"/>
          <w:rtl/>
        </w:rPr>
        <w:t>سوسيولوجية</w:t>
      </w:r>
      <w:proofErr w:type="spellEnd"/>
    </w:p>
    <w:p w:rsidR="00184461" w:rsidRPr="002F729D" w:rsidRDefault="00184461" w:rsidP="00184461">
      <w:pPr>
        <w:pStyle w:val="SimplifiedArabicStyle"/>
        <w:jc w:val="center"/>
        <w:rPr>
          <w:rFonts w:cs="Andalus"/>
          <w:b/>
          <w:bCs/>
          <w:sz w:val="56"/>
          <w:szCs w:val="56"/>
          <w:rtl/>
        </w:rPr>
      </w:pPr>
    </w:p>
    <w:p w:rsidR="00184461" w:rsidRPr="002F729D" w:rsidRDefault="00184461" w:rsidP="00184461">
      <w:pPr>
        <w:pStyle w:val="SimplifiedArabicStyl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</w:rPr>
      </w:pPr>
      <w:r w:rsidRPr="002F729D">
        <w:rPr>
          <w:rFonts w:hint="cs"/>
          <w:b/>
          <w:bCs/>
          <w:sz w:val="40"/>
          <w:szCs w:val="40"/>
          <w:rtl/>
        </w:rPr>
        <w:t xml:space="preserve">إشكالات </w:t>
      </w:r>
      <w:proofErr w:type="spellStart"/>
      <w:r w:rsidRPr="002F729D">
        <w:rPr>
          <w:rFonts w:hint="cs"/>
          <w:b/>
          <w:bCs/>
          <w:sz w:val="40"/>
          <w:szCs w:val="40"/>
          <w:rtl/>
        </w:rPr>
        <w:t>سوسيولوجية</w:t>
      </w:r>
      <w:proofErr w:type="spellEnd"/>
      <w:r w:rsidRPr="002F729D">
        <w:rPr>
          <w:rFonts w:hint="cs"/>
          <w:b/>
          <w:bCs/>
          <w:sz w:val="40"/>
          <w:szCs w:val="40"/>
          <w:rtl/>
        </w:rPr>
        <w:t xml:space="preserve"> عامة</w:t>
      </w:r>
    </w:p>
    <w:p w:rsidR="00184461" w:rsidRPr="002F729D" w:rsidRDefault="00184461" w:rsidP="00184461">
      <w:pPr>
        <w:pStyle w:val="SimplifiedArabicStyl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</w:rPr>
      </w:pPr>
      <w:r w:rsidRPr="002F729D">
        <w:rPr>
          <w:rFonts w:hint="cs"/>
          <w:b/>
          <w:bCs/>
          <w:sz w:val="40"/>
          <w:szCs w:val="40"/>
          <w:rtl/>
        </w:rPr>
        <w:t xml:space="preserve">الثقافة </w:t>
      </w:r>
      <w:proofErr w:type="spellStart"/>
      <w:r w:rsidRPr="002F729D">
        <w:rPr>
          <w:rFonts w:hint="cs"/>
          <w:b/>
          <w:bCs/>
          <w:sz w:val="40"/>
          <w:szCs w:val="40"/>
          <w:rtl/>
        </w:rPr>
        <w:t>والتراتبية</w:t>
      </w:r>
      <w:proofErr w:type="spellEnd"/>
      <w:r w:rsidRPr="002F729D">
        <w:rPr>
          <w:rFonts w:hint="cs"/>
          <w:b/>
          <w:bCs/>
          <w:sz w:val="40"/>
          <w:szCs w:val="40"/>
          <w:rtl/>
        </w:rPr>
        <w:t xml:space="preserve"> الاجتماعية</w:t>
      </w:r>
    </w:p>
    <w:p w:rsidR="00184461" w:rsidRPr="002F729D" w:rsidRDefault="00184461" w:rsidP="00184461">
      <w:pPr>
        <w:pStyle w:val="SimplifiedArabicStyle"/>
        <w:numPr>
          <w:ilvl w:val="0"/>
          <w:numId w:val="1"/>
        </w:numPr>
        <w:tabs>
          <w:tab w:val="right" w:pos="900"/>
        </w:tabs>
        <w:jc w:val="both"/>
        <w:rPr>
          <w:b/>
          <w:bCs/>
          <w:sz w:val="40"/>
          <w:szCs w:val="40"/>
        </w:rPr>
      </w:pPr>
      <w:r w:rsidRPr="002F729D">
        <w:rPr>
          <w:rFonts w:hint="cs"/>
          <w:b/>
          <w:bCs/>
          <w:sz w:val="40"/>
          <w:szCs w:val="40"/>
          <w:rtl/>
        </w:rPr>
        <w:t xml:space="preserve">كتاب </w:t>
      </w:r>
      <w:r w:rsidRPr="002F729D">
        <w:rPr>
          <w:b/>
          <w:bCs/>
          <w:sz w:val="40"/>
          <w:szCs w:val="40"/>
          <w:rtl/>
        </w:rPr>
        <w:t>«</w:t>
      </w:r>
      <w:r w:rsidRPr="002F729D">
        <w:rPr>
          <w:rFonts w:hint="cs"/>
          <w:b/>
          <w:bCs/>
          <w:sz w:val="40"/>
          <w:szCs w:val="40"/>
          <w:rtl/>
        </w:rPr>
        <w:t>التميّز</w:t>
      </w:r>
      <w:r w:rsidRPr="002F729D">
        <w:rPr>
          <w:b/>
          <w:bCs/>
          <w:sz w:val="40"/>
          <w:szCs w:val="40"/>
          <w:rtl/>
        </w:rPr>
        <w:t>»</w:t>
      </w:r>
      <w:proofErr w:type="spellStart"/>
      <w:r w:rsidRPr="002F729D">
        <w:rPr>
          <w:rFonts w:hint="cs"/>
          <w:b/>
          <w:bCs/>
          <w:sz w:val="40"/>
          <w:szCs w:val="40"/>
          <w:rtl/>
        </w:rPr>
        <w:t>لبورديو</w:t>
      </w:r>
      <w:proofErr w:type="spellEnd"/>
    </w:p>
    <w:p w:rsidR="00184461" w:rsidRDefault="00184461" w:rsidP="00184461">
      <w:pPr>
        <w:bidi w:val="0"/>
        <w:ind w:firstLine="0"/>
        <w:rPr>
          <w:rtl/>
          <w:lang w:bidi="ar-DZ"/>
        </w:rPr>
      </w:pPr>
      <w:r>
        <w:rPr>
          <w:rtl/>
        </w:rPr>
        <w:br w:type="page"/>
      </w:r>
    </w:p>
    <w:p w:rsidR="00184461" w:rsidRPr="00CB7A7A" w:rsidRDefault="00184461" w:rsidP="00184461">
      <w:pPr>
        <w:pStyle w:val="SimplifiedArabicStyle"/>
        <w:numPr>
          <w:ilvl w:val="0"/>
          <w:numId w:val="2"/>
        </w:numPr>
        <w:jc w:val="both"/>
        <w:rPr>
          <w:b/>
          <w:bCs/>
        </w:rPr>
      </w:pPr>
      <w:r w:rsidRPr="00CB7A7A">
        <w:rPr>
          <w:rFonts w:hint="cs"/>
          <w:b/>
          <w:bCs/>
          <w:rtl/>
        </w:rPr>
        <w:lastRenderedPageBreak/>
        <w:t xml:space="preserve">إشكالات </w:t>
      </w:r>
      <w:proofErr w:type="spellStart"/>
      <w:r w:rsidRPr="00CB7A7A">
        <w:rPr>
          <w:rFonts w:hint="cs"/>
          <w:b/>
          <w:bCs/>
          <w:rtl/>
        </w:rPr>
        <w:t>سوسيولوجية</w:t>
      </w:r>
      <w:proofErr w:type="spellEnd"/>
      <w:r w:rsidRPr="00CB7A7A">
        <w:rPr>
          <w:rFonts w:hint="cs"/>
          <w:b/>
          <w:bCs/>
          <w:rtl/>
        </w:rPr>
        <w:t xml:space="preserve"> عامة</w:t>
      </w:r>
    </w:p>
    <w:p w:rsidR="00184461" w:rsidRDefault="00184461" w:rsidP="00184461">
      <w:pPr>
        <w:pStyle w:val="SimplifiedArabicStyle"/>
        <w:jc w:val="both"/>
        <w:rPr>
          <w:rtl/>
        </w:rPr>
      </w:pPr>
      <w:r>
        <w:rPr>
          <w:rFonts w:hint="cs"/>
          <w:rtl/>
        </w:rPr>
        <w:t xml:space="preserve">هناك 4 </w:t>
      </w:r>
      <w:r w:rsidRPr="00C32111">
        <w:rPr>
          <w:rtl/>
        </w:rPr>
        <w:t xml:space="preserve">إشكالات </w:t>
      </w:r>
      <w:proofErr w:type="spellStart"/>
      <w:r w:rsidRPr="00C32111">
        <w:rPr>
          <w:rtl/>
        </w:rPr>
        <w:t>سوسيولوجية</w:t>
      </w:r>
      <w:proofErr w:type="spellEnd"/>
      <w:r w:rsidRPr="00C32111">
        <w:rPr>
          <w:rtl/>
        </w:rPr>
        <w:t xml:space="preserve"> </w:t>
      </w:r>
      <w:proofErr w:type="spellStart"/>
      <w:r w:rsidRPr="00C32111">
        <w:rPr>
          <w:rtl/>
        </w:rPr>
        <w:t>عامة</w:t>
      </w:r>
      <w:r>
        <w:rPr>
          <w:rFonts w:hint="cs"/>
          <w:rtl/>
        </w:rPr>
        <w:t>حول</w:t>
      </w:r>
      <w:proofErr w:type="spellEnd"/>
      <w:r>
        <w:rPr>
          <w:rFonts w:hint="cs"/>
          <w:rtl/>
        </w:rPr>
        <w:t xml:space="preserve"> مفهوم </w:t>
      </w:r>
      <w:r>
        <w:rPr>
          <w:rtl/>
        </w:rPr>
        <w:t>«</w:t>
      </w:r>
      <w:r>
        <w:rPr>
          <w:rFonts w:hint="cs"/>
          <w:rtl/>
        </w:rPr>
        <w:t>الثقافة</w:t>
      </w:r>
      <w:r>
        <w:rPr>
          <w:rtl/>
        </w:rPr>
        <w:t>»</w:t>
      </w:r>
      <w:r>
        <w:rPr>
          <w:rFonts w:hint="cs"/>
          <w:rtl/>
        </w:rPr>
        <w:t>:</w:t>
      </w:r>
    </w:p>
    <w:p w:rsidR="00184461" w:rsidRDefault="00184461" w:rsidP="00184461">
      <w:pPr>
        <w:pStyle w:val="SimplifiedArabicStyle"/>
        <w:numPr>
          <w:ilvl w:val="0"/>
          <w:numId w:val="3"/>
        </w:numPr>
        <w:jc w:val="both"/>
      </w:pPr>
      <w:r>
        <w:rPr>
          <w:rFonts w:hint="cs"/>
          <w:rtl/>
        </w:rPr>
        <w:t>الأول هي محاولة وصف الممارسات الثقافية في مختلف مناحيها وأشكالها.</w:t>
      </w:r>
    </w:p>
    <w:p w:rsidR="00184461" w:rsidRDefault="00184461" w:rsidP="00184461">
      <w:pPr>
        <w:pStyle w:val="SimplifiedArabicStyle"/>
        <w:numPr>
          <w:ilvl w:val="0"/>
          <w:numId w:val="3"/>
        </w:numPr>
        <w:jc w:val="both"/>
      </w:pPr>
      <w:r>
        <w:rPr>
          <w:rFonts w:hint="cs"/>
          <w:rtl/>
        </w:rPr>
        <w:t xml:space="preserve">الثاني يخص الممارسات الثقافية من وجهة نظر اختلافها ويعالج هذا الإشكال العلاقة بين الفروق الثقافية </w:t>
      </w:r>
      <w:proofErr w:type="spellStart"/>
      <w:r>
        <w:rPr>
          <w:rFonts w:hint="cs"/>
          <w:rtl/>
        </w:rPr>
        <w:t>والتراتبية</w:t>
      </w:r>
      <w:proofErr w:type="spellEnd"/>
      <w:r>
        <w:rPr>
          <w:rFonts w:hint="cs"/>
          <w:rtl/>
        </w:rPr>
        <w:t xml:space="preserve"> الاجتماعية، وكذا الفروق بين الثقافة </w:t>
      </w:r>
      <w:proofErr w:type="spellStart"/>
      <w:r>
        <w:rPr>
          <w:rFonts w:hint="cs"/>
          <w:rtl/>
        </w:rPr>
        <w:t>الذكورية</w:t>
      </w:r>
      <w:proofErr w:type="spellEnd"/>
      <w:r>
        <w:rPr>
          <w:rFonts w:hint="cs"/>
          <w:rtl/>
        </w:rPr>
        <w:t xml:space="preserve"> والثقافة الأنثوية.</w:t>
      </w:r>
    </w:p>
    <w:p w:rsidR="00184461" w:rsidRDefault="00184461" w:rsidP="00184461">
      <w:pPr>
        <w:pStyle w:val="SimplifiedArabicStyle"/>
        <w:numPr>
          <w:ilvl w:val="0"/>
          <w:numId w:val="3"/>
        </w:numPr>
        <w:jc w:val="both"/>
      </w:pPr>
      <w:r>
        <w:rPr>
          <w:rFonts w:hint="cs"/>
          <w:rtl/>
        </w:rPr>
        <w:t xml:space="preserve">ثالثا مدى أهمية الواقعة الثقافية في المجتمع بين نقيضي النزعة </w:t>
      </w:r>
      <w:proofErr w:type="spellStart"/>
      <w:r>
        <w:rPr>
          <w:rFonts w:hint="cs"/>
          <w:rtl/>
        </w:rPr>
        <w:t>الثقافوية</w:t>
      </w:r>
      <w:proofErr w:type="spellEnd"/>
      <w:r>
        <w:rPr>
          <w:rFonts w:hint="cs"/>
          <w:rtl/>
        </w:rPr>
        <w:t xml:space="preserve"> التي ترى أن كل شيء ثقافة والنزعة الاقتصادية التي ترى أن الثقافة واقعة ثانوية في الحياة الاجتماعية.</w:t>
      </w:r>
    </w:p>
    <w:p w:rsidR="00184461" w:rsidRDefault="00184461" w:rsidP="00184461">
      <w:pPr>
        <w:pStyle w:val="SimplifiedArabicStyle"/>
        <w:numPr>
          <w:ilvl w:val="0"/>
          <w:numId w:val="3"/>
        </w:numPr>
        <w:jc w:val="both"/>
      </w:pPr>
      <w:r>
        <w:rPr>
          <w:rFonts w:hint="cs"/>
          <w:rtl/>
        </w:rPr>
        <w:t xml:space="preserve">رابعا مسألة </w:t>
      </w:r>
      <w:r>
        <w:rPr>
          <w:rtl/>
        </w:rPr>
        <w:t>«</w:t>
      </w:r>
      <w:r>
        <w:rPr>
          <w:rFonts w:hint="cs"/>
          <w:rtl/>
        </w:rPr>
        <w:t>المؤسسات الثقافية</w:t>
      </w:r>
      <w:r>
        <w:rPr>
          <w:rtl/>
        </w:rPr>
        <w:t>»</w:t>
      </w:r>
      <w:r>
        <w:rPr>
          <w:rFonts w:hint="cs"/>
          <w:rtl/>
        </w:rPr>
        <w:t>أو كيف تنتج ثقافة وكيف يعاد إنتاجها.</w:t>
      </w:r>
    </w:p>
    <w:p w:rsidR="00184461" w:rsidRDefault="00184461" w:rsidP="00184461">
      <w:pPr>
        <w:pStyle w:val="SimplifiedArabicStyle"/>
        <w:numPr>
          <w:ilvl w:val="0"/>
          <w:numId w:val="2"/>
        </w:numPr>
        <w:spacing w:before="480" w:line="259" w:lineRule="auto"/>
        <w:ind w:left="714" w:hanging="357"/>
        <w:jc w:val="both"/>
        <w:rPr>
          <w:b/>
          <w:bCs/>
        </w:rPr>
      </w:pPr>
      <w:r w:rsidRPr="00715FF1">
        <w:rPr>
          <w:rFonts w:hint="cs"/>
          <w:b/>
          <w:bCs/>
          <w:rtl/>
        </w:rPr>
        <w:t xml:space="preserve">الثقافة </w:t>
      </w:r>
      <w:proofErr w:type="spellStart"/>
      <w:r w:rsidRPr="00715FF1">
        <w:rPr>
          <w:rFonts w:hint="cs"/>
          <w:b/>
          <w:bCs/>
          <w:rtl/>
        </w:rPr>
        <w:t>والتراتبية</w:t>
      </w:r>
      <w:proofErr w:type="spellEnd"/>
      <w:r w:rsidRPr="00715FF1">
        <w:rPr>
          <w:rFonts w:hint="cs"/>
          <w:b/>
          <w:bCs/>
          <w:rtl/>
        </w:rPr>
        <w:t xml:space="preserve"> الاجتماعية</w:t>
      </w:r>
    </w:p>
    <w:p w:rsidR="00184461" w:rsidRDefault="00184461" w:rsidP="00184461">
      <w:pPr>
        <w:pStyle w:val="SimplifiedArabicStyle"/>
        <w:jc w:val="both"/>
        <w:rPr>
          <w:rtl/>
        </w:rPr>
      </w:pPr>
      <w:r>
        <w:rPr>
          <w:rFonts w:hint="cs"/>
          <w:rtl/>
        </w:rPr>
        <w:t xml:space="preserve">إن الثقافة كواقعة اجتماعية غير منفصلة عن باقي الحياة الاجتماعية، تندمج الثقافة داخل التاريخ وداخل العلاقات الاجتماعية ورهاناتها، من وجهة نظر منهجية، تفهم الثقافة في علاقتها </w:t>
      </w:r>
      <w:proofErr w:type="spellStart"/>
      <w:r>
        <w:rPr>
          <w:rFonts w:hint="cs"/>
          <w:rtl/>
        </w:rPr>
        <w:t>بالتراتبية</w:t>
      </w:r>
      <w:proofErr w:type="spellEnd"/>
      <w:r>
        <w:rPr>
          <w:rFonts w:hint="cs"/>
          <w:rtl/>
        </w:rPr>
        <w:t xml:space="preserve"> الاجتماعية.</w:t>
      </w:r>
    </w:p>
    <w:p w:rsidR="00184461" w:rsidRDefault="00184461" w:rsidP="00184461">
      <w:pPr>
        <w:pStyle w:val="SimplifiedArabicStyle"/>
        <w:jc w:val="both"/>
        <w:rPr>
          <w:rtl/>
        </w:rPr>
      </w:pPr>
      <w:r>
        <w:rPr>
          <w:rFonts w:hint="cs"/>
          <w:rtl/>
        </w:rPr>
        <w:t xml:space="preserve">داخل نفس المجتمع، هناك </w:t>
      </w:r>
      <w:proofErr w:type="gramStart"/>
      <w:r>
        <w:rPr>
          <w:rFonts w:hint="cs"/>
          <w:rtl/>
        </w:rPr>
        <w:t>عموما</w:t>
      </w:r>
      <w:proofErr w:type="gramEnd"/>
      <w:r>
        <w:rPr>
          <w:rFonts w:hint="cs"/>
          <w:rtl/>
        </w:rPr>
        <w:t xml:space="preserve"> اختلاف الثقافات باختلاف الطبقات.</w:t>
      </w:r>
    </w:p>
    <w:p w:rsidR="00184461" w:rsidRDefault="00184461" w:rsidP="00184461">
      <w:pPr>
        <w:pStyle w:val="SimplifiedArabicStyle"/>
        <w:jc w:val="both"/>
        <w:rPr>
          <w:rtl/>
        </w:rPr>
      </w:pPr>
      <w:proofErr w:type="gramStart"/>
      <w:r>
        <w:rPr>
          <w:rFonts w:hint="cs"/>
          <w:rtl/>
        </w:rPr>
        <w:t>يبني</w:t>
      </w:r>
      <w:proofErr w:type="gramEnd"/>
      <w:r>
        <w:rPr>
          <w:rFonts w:hint="cs"/>
          <w:rtl/>
        </w:rPr>
        <w:t xml:space="preserve"> التنوّع الثقافي داخل أنظمة شرعية، </w:t>
      </w:r>
      <w:proofErr w:type="spellStart"/>
      <w:r w:rsidRPr="0038077D">
        <w:rPr>
          <w:sz w:val="26"/>
          <w:szCs w:val="26"/>
        </w:rPr>
        <w:t>Ordresdelégitimité</w:t>
      </w:r>
      <w:proofErr w:type="spellEnd"/>
      <w:r>
        <w:rPr>
          <w:rFonts w:hint="cs"/>
          <w:rtl/>
        </w:rPr>
        <w:t>، حيث الشرعية الاجتماعية تأسس الشرعية الثقافية، يبقى فقط أن نلاحظ أن طريقة تحليل الشرعيتين ليست نفسها.</w:t>
      </w:r>
    </w:p>
    <w:p w:rsidR="00184461" w:rsidRDefault="00184461" w:rsidP="00184461">
      <w:pPr>
        <w:pStyle w:val="SimplifiedArabicStyle"/>
        <w:numPr>
          <w:ilvl w:val="0"/>
          <w:numId w:val="2"/>
        </w:numPr>
        <w:spacing w:before="480"/>
        <w:ind w:left="714" w:hanging="357"/>
        <w:jc w:val="both"/>
        <w:rPr>
          <w:b/>
          <w:bCs/>
        </w:rPr>
      </w:pPr>
      <w:r>
        <w:rPr>
          <w:rFonts w:hint="cs"/>
          <w:b/>
          <w:bCs/>
          <w:rtl/>
        </w:rPr>
        <w:t>كتاب</w:t>
      </w:r>
      <w:r w:rsidRPr="00443C35">
        <w:rPr>
          <w:b/>
          <w:bCs/>
          <w:rtl/>
        </w:rPr>
        <w:t>«</w:t>
      </w:r>
      <w:r w:rsidRPr="00443C35">
        <w:rPr>
          <w:rFonts w:hint="cs"/>
          <w:b/>
          <w:bCs/>
          <w:rtl/>
        </w:rPr>
        <w:t>التميّز</w:t>
      </w:r>
      <w:r w:rsidRPr="00443C35">
        <w:rPr>
          <w:b/>
          <w:bCs/>
          <w:rtl/>
        </w:rPr>
        <w:t>»</w:t>
      </w:r>
      <w:proofErr w:type="spellStart"/>
      <w:r w:rsidRPr="00443C35">
        <w:rPr>
          <w:rFonts w:hint="cs"/>
          <w:b/>
          <w:bCs/>
          <w:rtl/>
        </w:rPr>
        <w:t>لبورديو</w:t>
      </w:r>
      <w:r>
        <w:rPr>
          <w:b/>
          <w:bCs/>
          <w:sz w:val="28"/>
          <w:szCs w:val="28"/>
        </w:rPr>
        <w:t>L</w:t>
      </w:r>
      <w:r w:rsidRPr="00EC4D74">
        <w:rPr>
          <w:b/>
          <w:bCs/>
          <w:sz w:val="28"/>
          <w:szCs w:val="28"/>
        </w:rPr>
        <w:t>a</w:t>
      </w:r>
      <w:r w:rsidRPr="0038077D">
        <w:rPr>
          <w:b/>
          <w:bCs/>
          <w:sz w:val="26"/>
          <w:szCs w:val="26"/>
        </w:rPr>
        <w:t>distinction</w:t>
      </w:r>
      <w:proofErr w:type="spellEnd"/>
    </w:p>
    <w:p w:rsidR="00184461" w:rsidRDefault="00184461" w:rsidP="00184461">
      <w:pPr>
        <w:pStyle w:val="SimplifiedArabicStyle"/>
        <w:jc w:val="both"/>
        <w:rPr>
          <w:rtl/>
        </w:rPr>
      </w:pPr>
      <w:r>
        <w:rPr>
          <w:rFonts w:hint="cs"/>
          <w:rtl/>
        </w:rPr>
        <w:t xml:space="preserve">يقدم كتاب </w:t>
      </w:r>
      <w:proofErr w:type="spellStart"/>
      <w:r>
        <w:rPr>
          <w:rFonts w:hint="cs"/>
          <w:rtl/>
        </w:rPr>
        <w:t>بورديو</w:t>
      </w:r>
      <w:proofErr w:type="spellEnd"/>
      <w:r>
        <w:rPr>
          <w:rtl/>
        </w:rPr>
        <w:t>«</w:t>
      </w:r>
      <w:r>
        <w:rPr>
          <w:rFonts w:hint="cs"/>
          <w:rtl/>
        </w:rPr>
        <w:t>التميّز</w:t>
      </w:r>
      <w:r>
        <w:rPr>
          <w:rtl/>
        </w:rPr>
        <w:t>»</w:t>
      </w:r>
      <w:r>
        <w:rPr>
          <w:rFonts w:hint="cs"/>
          <w:rtl/>
        </w:rPr>
        <w:t xml:space="preserve">تحليلا للمجتمع الفرنسي يبيّن من خلاله العلاقات المعقدة بين الثقافة </w:t>
      </w:r>
      <w:proofErr w:type="spellStart"/>
      <w:r>
        <w:rPr>
          <w:rFonts w:hint="cs"/>
          <w:rtl/>
        </w:rPr>
        <w:t>والتراتبية</w:t>
      </w:r>
      <w:proofErr w:type="spellEnd"/>
      <w:r>
        <w:rPr>
          <w:rFonts w:hint="cs"/>
          <w:rtl/>
        </w:rPr>
        <w:t xml:space="preserve"> الاجتماعية.</w:t>
      </w:r>
    </w:p>
    <w:p w:rsidR="00184461" w:rsidRDefault="00184461" w:rsidP="00184461">
      <w:pPr>
        <w:pStyle w:val="SimplifiedArabicStyle"/>
        <w:jc w:val="both"/>
        <w:rPr>
          <w:rtl/>
        </w:rPr>
      </w:pPr>
      <w:r>
        <w:rPr>
          <w:rFonts w:hint="cs"/>
          <w:rtl/>
        </w:rPr>
        <w:lastRenderedPageBreak/>
        <w:t xml:space="preserve">ينطلق تحليل </w:t>
      </w:r>
      <w:proofErr w:type="spellStart"/>
      <w:r>
        <w:rPr>
          <w:rFonts w:hint="cs"/>
          <w:rtl/>
        </w:rPr>
        <w:t>بورديو</w:t>
      </w:r>
      <w:proofErr w:type="spellEnd"/>
      <w:r>
        <w:rPr>
          <w:rFonts w:hint="cs"/>
          <w:rtl/>
        </w:rPr>
        <w:t xml:space="preserve"> من واقعة إحصائية فعلية وهي أنّ الممارسات الثقافية متمايزة ومختلفة بحسب الأصل الاجتماعي والمستوى الدراسي للأفراد.</w:t>
      </w:r>
    </w:p>
    <w:p w:rsidR="00184461" w:rsidRDefault="00184461" w:rsidP="00184461">
      <w:pPr>
        <w:pStyle w:val="SimplifiedArabicStyle"/>
        <w:jc w:val="both"/>
      </w:pPr>
      <w:r>
        <w:rPr>
          <w:noProof/>
          <w:rtl/>
          <w:lang w:eastAsia="fr-FR" w:bidi="ar-SA"/>
        </w:rPr>
        <w:drawing>
          <wp:inline distT="0" distB="0" distL="0" distR="0">
            <wp:extent cx="6191250" cy="8096250"/>
            <wp:effectExtent l="19050" t="0" r="0" b="0"/>
            <wp:docPr id="5" name="Image 3" descr="C:\Users\LOTFI\Desktop\Lotfi schemas\Lotf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TFI\Desktop\Lotfi schemas\Lotfi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461" w:rsidRDefault="00184461" w:rsidP="00184461">
      <w:pPr>
        <w:pStyle w:val="SimplifiedArabicStyle"/>
        <w:jc w:val="both"/>
      </w:pPr>
    </w:p>
    <w:p w:rsidR="00184461" w:rsidRDefault="00184461" w:rsidP="00184461">
      <w:pPr>
        <w:pStyle w:val="SimplifiedArabicStyle"/>
        <w:jc w:val="both"/>
        <w:rPr>
          <w:rtl/>
        </w:rPr>
      </w:pPr>
      <w:r>
        <w:rPr>
          <w:rFonts w:hint="cs"/>
          <w:rtl/>
        </w:rPr>
        <w:t xml:space="preserve">تنتظم الممارسات الثقافية داخل </w:t>
      </w:r>
      <w:proofErr w:type="spellStart"/>
      <w:r>
        <w:rPr>
          <w:rFonts w:hint="cs"/>
          <w:rtl/>
        </w:rPr>
        <w:t>تراتبية</w:t>
      </w:r>
      <w:proofErr w:type="spellEnd"/>
      <w:r>
        <w:rPr>
          <w:rFonts w:hint="cs"/>
          <w:rtl/>
        </w:rPr>
        <w:t xml:space="preserve"> يحددّها الحقل الثقافي، تذهب هذه </w:t>
      </w:r>
      <w:proofErr w:type="spellStart"/>
      <w:r>
        <w:rPr>
          <w:rFonts w:hint="cs"/>
          <w:rtl/>
        </w:rPr>
        <w:t>التراتبية</w:t>
      </w:r>
      <w:proofErr w:type="spellEnd"/>
      <w:r>
        <w:rPr>
          <w:rFonts w:hint="cs"/>
          <w:rtl/>
        </w:rPr>
        <w:t xml:space="preserve"> من الأقل شرعية إلى الأكثر شرعية، الأمر نفسه بالنسبة لأحكام الأفراد وأذواقهم، بعضها أحسن من بعض، إنها تلك التي تحددّها الطبقة العليا.</w:t>
      </w:r>
    </w:p>
    <w:p w:rsidR="00184461" w:rsidRDefault="00184461" w:rsidP="00184461">
      <w:pPr>
        <w:pStyle w:val="SimplifiedArabicStyle"/>
        <w:jc w:val="both"/>
        <w:rPr>
          <w:rtl/>
        </w:rPr>
      </w:pPr>
      <w:r>
        <w:rPr>
          <w:rFonts w:hint="cs"/>
          <w:rtl/>
        </w:rPr>
        <w:t xml:space="preserve">تعمل كل طبقة من خلال </w:t>
      </w:r>
      <w:r>
        <w:rPr>
          <w:rtl/>
        </w:rPr>
        <w:t>«</w:t>
      </w:r>
      <w:proofErr w:type="spellStart"/>
      <w:r>
        <w:rPr>
          <w:rFonts w:hint="cs"/>
          <w:rtl/>
        </w:rPr>
        <w:t>استراتيجية</w:t>
      </w:r>
      <w:proofErr w:type="spellEnd"/>
      <w:r>
        <w:rPr>
          <w:rFonts w:hint="cs"/>
          <w:rtl/>
        </w:rPr>
        <w:t xml:space="preserve"> ثقافية</w:t>
      </w:r>
      <w:r>
        <w:rPr>
          <w:rtl/>
        </w:rPr>
        <w:t>»</w:t>
      </w:r>
      <w:r>
        <w:rPr>
          <w:rFonts w:hint="cs"/>
          <w:rtl/>
        </w:rPr>
        <w:t xml:space="preserve">خاصة </w:t>
      </w:r>
      <w:proofErr w:type="spellStart"/>
      <w:r>
        <w:rPr>
          <w:rFonts w:hint="cs"/>
          <w:rtl/>
        </w:rPr>
        <w:t>بها</w:t>
      </w:r>
      <w:proofErr w:type="spellEnd"/>
      <w:r>
        <w:rPr>
          <w:rFonts w:hint="cs"/>
          <w:rtl/>
        </w:rPr>
        <w:t>:</w:t>
      </w:r>
    </w:p>
    <w:p w:rsidR="00184461" w:rsidRDefault="00184461" w:rsidP="00184461">
      <w:pPr>
        <w:pStyle w:val="SimplifiedArabicStyle"/>
        <w:numPr>
          <w:ilvl w:val="0"/>
          <w:numId w:val="3"/>
        </w:numPr>
        <w:jc w:val="both"/>
      </w:pPr>
      <w:r w:rsidRPr="00EB7F07">
        <w:rPr>
          <w:rFonts w:hint="cs"/>
          <w:b/>
          <w:bCs/>
          <w:rtl/>
        </w:rPr>
        <w:t>الطبقة العليا:</w:t>
      </w:r>
      <w:r>
        <w:rPr>
          <w:rFonts w:hint="cs"/>
          <w:rtl/>
        </w:rPr>
        <w:t xml:space="preserve"> تحاول الحفاظ على موقعها من خلال </w:t>
      </w:r>
      <w:r>
        <w:rPr>
          <w:rtl/>
        </w:rPr>
        <w:t>«</w:t>
      </w:r>
      <w:r>
        <w:rPr>
          <w:rFonts w:hint="cs"/>
          <w:rtl/>
        </w:rPr>
        <w:t>التميّز</w:t>
      </w:r>
      <w:r>
        <w:rPr>
          <w:rtl/>
        </w:rPr>
        <w:t>»</w:t>
      </w:r>
      <w:r>
        <w:rPr>
          <w:rFonts w:hint="cs"/>
          <w:rtl/>
        </w:rPr>
        <w:t xml:space="preserve">، إنها تحاول أن تفرض لباقي المجتمع </w:t>
      </w:r>
      <w:r>
        <w:rPr>
          <w:rtl/>
        </w:rPr>
        <w:t>«</w:t>
      </w:r>
      <w:r>
        <w:rPr>
          <w:rFonts w:hint="cs"/>
          <w:rtl/>
        </w:rPr>
        <w:t>الذوق الأحسن</w:t>
      </w:r>
      <w:r>
        <w:rPr>
          <w:rtl/>
        </w:rPr>
        <w:t>»</w:t>
      </w:r>
      <w:r>
        <w:rPr>
          <w:rFonts w:hint="cs"/>
          <w:rtl/>
        </w:rPr>
        <w:t xml:space="preserve"> والثقافة الشرعية، يأخذ حب التميّز معنى دور تقوم </w:t>
      </w:r>
      <w:proofErr w:type="spellStart"/>
      <w:r>
        <w:rPr>
          <w:rFonts w:hint="cs"/>
          <w:rtl/>
        </w:rPr>
        <w:t>به</w:t>
      </w:r>
      <w:proofErr w:type="spellEnd"/>
      <w:r>
        <w:rPr>
          <w:rFonts w:hint="cs"/>
          <w:rtl/>
        </w:rPr>
        <w:t xml:space="preserve"> الطبقة العليا ومسافة تحاول الحفاظ عليها مع باقي الطبقات.</w:t>
      </w:r>
    </w:p>
    <w:p w:rsidR="00184461" w:rsidRDefault="00184461" w:rsidP="00184461">
      <w:pPr>
        <w:pStyle w:val="SimplifiedArabicStyle"/>
        <w:numPr>
          <w:ilvl w:val="0"/>
          <w:numId w:val="3"/>
        </w:numPr>
        <w:jc w:val="both"/>
      </w:pPr>
      <w:r>
        <w:rPr>
          <w:rFonts w:hint="cs"/>
          <w:rtl/>
        </w:rPr>
        <w:t xml:space="preserve">الطبقة الوسطى: أهم ما يميّز </w:t>
      </w:r>
      <w:proofErr w:type="spellStart"/>
      <w:r>
        <w:rPr>
          <w:rFonts w:hint="cs"/>
          <w:rtl/>
        </w:rPr>
        <w:t>الاستراتيجية</w:t>
      </w:r>
      <w:proofErr w:type="spellEnd"/>
      <w:r>
        <w:rPr>
          <w:rFonts w:hint="cs"/>
          <w:rtl/>
        </w:rPr>
        <w:t xml:space="preserve"> الثقافية للطبقة الوسطى هو محاولتها محاكاة ثقافة الطبقة العليا والاجتهاد في تحصيلها.</w:t>
      </w:r>
    </w:p>
    <w:p w:rsidR="00184461" w:rsidRDefault="00184461" w:rsidP="00184461">
      <w:pPr>
        <w:pStyle w:val="SimplifiedArabicStyle"/>
        <w:numPr>
          <w:ilvl w:val="0"/>
          <w:numId w:val="3"/>
        </w:numPr>
        <w:jc w:val="both"/>
      </w:pPr>
      <w:r>
        <w:rPr>
          <w:rFonts w:hint="cs"/>
          <w:rtl/>
        </w:rPr>
        <w:t>الطبقة الدنيا: تحاول أن تبتعد وأن تخالف ثقافة الطبقة العليا وتحاول بناء ثقافة تكون الأولوية فيها للبساطة وللأمور العملية بخلاف ثقافة الطبقة العليا التي تؤكد على الجانب الجمالي للأشياء.</w:t>
      </w:r>
    </w:p>
    <w:p w:rsidR="00184461" w:rsidRDefault="00184461" w:rsidP="00184461">
      <w:pPr>
        <w:bidi w:val="0"/>
        <w:ind w:firstLine="0"/>
        <w:rPr>
          <w:rtl/>
          <w:lang w:bidi="ar-DZ"/>
        </w:rPr>
      </w:pPr>
      <w:r>
        <w:rPr>
          <w:rtl/>
        </w:rPr>
        <w:br w:type="page"/>
      </w:r>
    </w:p>
    <w:p w:rsidR="005E30CC" w:rsidRDefault="005E30CC">
      <w:pPr>
        <w:rPr>
          <w:lang w:bidi="ar-DZ"/>
        </w:rPr>
      </w:pPr>
    </w:p>
    <w:sectPr w:rsidR="005E30CC" w:rsidSect="005E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3BFA"/>
    <w:multiLevelType w:val="hybridMultilevel"/>
    <w:tmpl w:val="755E277E"/>
    <w:lvl w:ilvl="0" w:tplc="B24C818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E7823"/>
    <w:multiLevelType w:val="hybridMultilevel"/>
    <w:tmpl w:val="4AAE71DE"/>
    <w:lvl w:ilvl="0" w:tplc="DFDEC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6618A"/>
    <w:multiLevelType w:val="hybridMultilevel"/>
    <w:tmpl w:val="D5FE1B7C"/>
    <w:lvl w:ilvl="0" w:tplc="6E2280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4461"/>
    <w:rsid w:val="00184461"/>
    <w:rsid w:val="005E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461"/>
    <w:pPr>
      <w:bidi/>
      <w:spacing w:after="160" w:line="259" w:lineRule="auto"/>
      <w:ind w:firstLine="360"/>
    </w:pPr>
    <w:rPr>
      <w:rFonts w:ascii="Simplified Arabic" w:hAnsi="Simplified Arabic" w:cs="Simplified Arabic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ifiedArabicStyle">
    <w:name w:val="Simplified Arabic Style"/>
    <w:basedOn w:val="Normal"/>
    <w:link w:val="SimplifiedArabicStyleCar"/>
    <w:qFormat/>
    <w:rsid w:val="00184461"/>
    <w:pPr>
      <w:spacing w:after="0" w:line="276" w:lineRule="auto"/>
    </w:pPr>
    <w:rPr>
      <w:lang w:bidi="ar-DZ"/>
    </w:rPr>
  </w:style>
  <w:style w:type="character" w:customStyle="1" w:styleId="SimplifiedArabicStyleCar">
    <w:name w:val="Simplified Arabic Style Car"/>
    <w:basedOn w:val="Policepardfaut"/>
    <w:link w:val="SimplifiedArabicStyle"/>
    <w:rsid w:val="00184461"/>
    <w:rPr>
      <w:rFonts w:ascii="Simplified Arabic" w:hAnsi="Simplified Arabic" w:cs="Simplified Arabic"/>
      <w:sz w:val="32"/>
      <w:szCs w:val="32"/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2021-02-01T20:33:00Z</dcterms:created>
  <dcterms:modified xsi:type="dcterms:W3CDTF">2021-02-01T20:33:00Z</dcterms:modified>
</cp:coreProperties>
</file>