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82" w:rsidRPr="001F6DE6" w:rsidRDefault="00F61E82" w:rsidP="00F61E82">
      <w:pPr>
        <w:pStyle w:val="Paragraphedeliste"/>
        <w:numPr>
          <w:ilvl w:val="0"/>
          <w:numId w:val="1"/>
        </w:numPr>
        <w:bidi/>
        <w:spacing w:after="0"/>
        <w:ind w:left="992" w:right="-680" w:hanging="425"/>
        <w:jc w:val="both"/>
        <w:rPr>
          <w:rFonts w:asciiTheme="majorBidi" w:hAnsiTheme="majorBidi" w:cs="Traditional Arabic"/>
          <w:b/>
          <w:bCs/>
          <w:sz w:val="36"/>
          <w:szCs w:val="36"/>
          <w:rtl/>
          <w:lang w:bidi="ar-DZ"/>
        </w:rPr>
      </w:pPr>
      <w:r w:rsidRPr="001F6DE6">
        <w:rPr>
          <w:rFonts w:asciiTheme="majorBidi" w:hAnsiTheme="majorBidi" w:cs="Traditional Arabic" w:hint="cs"/>
          <w:b/>
          <w:bCs/>
          <w:sz w:val="36"/>
          <w:szCs w:val="36"/>
          <w:rtl/>
          <w:lang w:bidi="ar-DZ"/>
        </w:rPr>
        <w:t>مجالات ومسؤوليات الحفظ الوقائي:</w:t>
      </w:r>
    </w:p>
    <w:p w:rsidR="00F61E82" w:rsidRDefault="00F61E82" w:rsidP="00F61E82">
      <w:pPr>
        <w:bidi/>
        <w:ind w:firstLine="709"/>
        <w:contextualSpacing/>
        <w:jc w:val="both"/>
        <w:rPr>
          <w:rFonts w:cs="Traditional Arabic"/>
          <w:sz w:val="36"/>
          <w:szCs w:val="36"/>
          <w:rtl/>
          <w:lang w:bidi="ar-DZ"/>
        </w:rPr>
      </w:pPr>
      <w:r w:rsidRPr="00DA575A">
        <w:rPr>
          <w:rFonts w:cs="Traditional Arabic" w:hint="cs"/>
          <w:sz w:val="36"/>
          <w:szCs w:val="36"/>
          <w:rtl/>
          <w:lang w:bidi="ar-DZ"/>
        </w:rPr>
        <w:t xml:space="preserve">يمكن اعتبار الحفظ الوقائي على انه شبيه بتعدد الجنسيات، باحتوائه و اشتماله تدرجيا </w:t>
      </w:r>
      <w:r>
        <w:rPr>
          <w:rFonts w:cs="Traditional Arabic" w:hint="cs"/>
          <w:sz w:val="36"/>
          <w:szCs w:val="36"/>
          <w:rtl/>
          <w:lang w:bidi="ar-DZ"/>
        </w:rPr>
        <w:t>على</w:t>
      </w:r>
      <w:r w:rsidRPr="006B776C">
        <w:rPr>
          <w:rFonts w:cs="Traditional Arabic" w:hint="cs"/>
          <w:sz w:val="36"/>
          <w:szCs w:val="36"/>
          <w:rtl/>
          <w:lang w:bidi="ar-DZ"/>
        </w:rPr>
        <w:t xml:space="preserve"> </w:t>
      </w:r>
      <w:r w:rsidRPr="00DA575A">
        <w:rPr>
          <w:rFonts w:cs="Traditional Arabic" w:hint="cs"/>
          <w:sz w:val="36"/>
          <w:szCs w:val="36"/>
          <w:rtl/>
          <w:lang w:bidi="ar-DZ"/>
        </w:rPr>
        <w:t>مجالات مختلفة.فقد كان يعتقد وفي وقت قريب لدى الكثير على أن الضوء و الرطوبة هما</w:t>
      </w:r>
      <w:r w:rsidRPr="00DA575A">
        <w:rPr>
          <w:rFonts w:cs="Traditional Arabic"/>
          <w:sz w:val="36"/>
          <w:szCs w:val="36"/>
          <w:lang w:bidi="ar-DZ"/>
        </w:rPr>
        <w:t xml:space="preserve"> </w:t>
      </w:r>
      <w:r w:rsidRPr="00DA575A">
        <w:rPr>
          <w:rFonts w:cs="Traditional Arabic" w:hint="cs"/>
          <w:sz w:val="36"/>
          <w:szCs w:val="36"/>
          <w:rtl/>
          <w:lang w:bidi="ar-DZ"/>
        </w:rPr>
        <w:t>العاملان المتسببان في تدهور المقتنيات وتلفها من خلال الكتب الكثيرة و الفصول التي أصدرت في هذا المجال.</w:t>
      </w:r>
    </w:p>
    <w:p w:rsidR="00F61E82" w:rsidRDefault="00F61E82" w:rsidP="00F61E82">
      <w:pPr>
        <w:bidi/>
        <w:ind w:firstLine="709"/>
        <w:contextualSpacing/>
        <w:jc w:val="both"/>
        <w:rPr>
          <w:rFonts w:cs="Traditional Arabic"/>
          <w:sz w:val="36"/>
          <w:szCs w:val="36"/>
          <w:lang w:bidi="ar-DZ"/>
        </w:rPr>
      </w:pPr>
      <w:r w:rsidRPr="00DA575A">
        <w:rPr>
          <w:rFonts w:cs="Traditional Arabic" w:hint="cs"/>
          <w:sz w:val="36"/>
          <w:szCs w:val="36"/>
          <w:rtl/>
          <w:lang w:bidi="ar-DZ"/>
        </w:rPr>
        <w:t>غير أن الأمور بدأت تعرف منعرجا أخر خلال هذه السنوات  و أصبح مجال  الحفظ الوقائي  أوسع  من إي وقت مضى من إصدار لكتب ومجلات تهتم بمجال  نقل التحف خاصة التحف الفنية منها ،كما كان الأمن  في المتاحف  أيضا موضوع لنشر العديد من الإصدارات ، فضلا  عن تهيئة المخازن  وفي كيفية أن تكون عليه واجهات العرض ،واختيار المواد المستقرة  و الوقاية من مخاطر  الحوادث ...الخ.فكل شكل من أشكال التلف  التي قد تسببت  في</w:t>
      </w:r>
      <w:r>
        <w:rPr>
          <w:rFonts w:cs="Traditional Arabic" w:hint="cs"/>
          <w:sz w:val="36"/>
          <w:szCs w:val="36"/>
          <w:rtl/>
          <w:lang w:bidi="ar-DZ"/>
        </w:rPr>
        <w:t xml:space="preserve">ه العديد  من العوامل(  التلوث </w:t>
      </w:r>
      <w:r w:rsidRPr="00DA575A">
        <w:rPr>
          <w:rFonts w:cs="Traditional Arabic" w:hint="cs"/>
          <w:sz w:val="36"/>
          <w:szCs w:val="36"/>
          <w:rtl/>
          <w:lang w:bidi="ar-DZ"/>
        </w:rPr>
        <w:t>التخزين ، التغليف النقل، الحوادث ، الإضاءة ، التلف البيولوجي )قد اختلفت من مؤلف  إلى أخر  وفقا لترتيبها وأهميتها ضمن الفص</w:t>
      </w:r>
      <w:r>
        <w:rPr>
          <w:rFonts w:cs="Traditional Arabic" w:hint="cs"/>
          <w:sz w:val="36"/>
          <w:szCs w:val="36"/>
          <w:rtl/>
          <w:lang w:bidi="ar-DZ"/>
        </w:rPr>
        <w:t>ول </w:t>
      </w:r>
      <w:r w:rsidRPr="00DA575A">
        <w:rPr>
          <w:rFonts w:cs="Traditional Arabic" w:hint="cs"/>
          <w:sz w:val="36"/>
          <w:szCs w:val="36"/>
          <w:rtl/>
          <w:lang w:bidi="ar-DZ"/>
        </w:rPr>
        <w:t xml:space="preserve"> المدرجة </w:t>
      </w:r>
      <w:r>
        <w:rPr>
          <w:rFonts w:cs="Traditional Arabic" w:hint="cs"/>
          <w:sz w:val="36"/>
          <w:szCs w:val="36"/>
          <w:rtl/>
          <w:lang w:bidi="ar-DZ"/>
        </w:rPr>
        <w:t>في الكتاب</w:t>
      </w:r>
      <w:r w:rsidRPr="00DA575A">
        <w:rPr>
          <w:rFonts w:cs="Traditional Arabic" w:hint="cs"/>
          <w:sz w:val="36"/>
          <w:szCs w:val="36"/>
          <w:rtl/>
          <w:lang w:bidi="ar-DZ"/>
        </w:rPr>
        <w:t xml:space="preserve"> ، </w:t>
      </w:r>
      <w:r>
        <w:rPr>
          <w:rFonts w:cs="Traditional Arabic" w:hint="cs"/>
          <w:sz w:val="36"/>
          <w:szCs w:val="36"/>
          <w:rtl/>
          <w:lang w:bidi="ar-DZ"/>
        </w:rPr>
        <w:t>غير انها تشمل كل جانب من جوانب ا</w:t>
      </w:r>
      <w:r w:rsidRPr="00DA575A">
        <w:rPr>
          <w:rFonts w:cs="Traditional Arabic" w:hint="cs"/>
          <w:sz w:val="36"/>
          <w:szCs w:val="36"/>
          <w:rtl/>
          <w:lang w:bidi="ar-DZ"/>
        </w:rPr>
        <w:t>لحفظ الوقائي  في المتحف.</w:t>
      </w:r>
      <w:r w:rsidRPr="00990793">
        <w:rPr>
          <w:rFonts w:cs="Traditional Arabic" w:hint="cs"/>
          <w:sz w:val="36"/>
          <w:szCs w:val="36"/>
          <w:rtl/>
          <w:lang w:bidi="ar-DZ"/>
        </w:rPr>
        <w:t xml:space="preserve"> </w:t>
      </w:r>
      <w:r w:rsidRPr="00DA575A">
        <w:rPr>
          <w:rFonts w:cs="Traditional Arabic" w:hint="cs"/>
          <w:sz w:val="36"/>
          <w:szCs w:val="36"/>
          <w:rtl/>
          <w:lang w:bidi="ar-DZ"/>
        </w:rPr>
        <w:t>هذا فيما يخص ابرز مجالات الحفظ وما تضمنته من ترتيب وأولية حسب المعطيات التي</w:t>
      </w:r>
      <w:r>
        <w:rPr>
          <w:rFonts w:cs="Traditional Arabic" w:hint="cs"/>
          <w:sz w:val="36"/>
          <w:szCs w:val="36"/>
          <w:rtl/>
          <w:lang w:bidi="ar-DZ"/>
        </w:rPr>
        <w:t xml:space="preserve"> أدرجها</w:t>
      </w:r>
      <w:r w:rsidRPr="00DA575A">
        <w:rPr>
          <w:rFonts w:cs="Traditional Arabic" w:hint="cs"/>
          <w:sz w:val="36"/>
          <w:szCs w:val="36"/>
          <w:rtl/>
          <w:lang w:bidi="ar-DZ"/>
        </w:rPr>
        <w:t xml:space="preserve"> المؤلف في كتبه، أما الشق الأخر فله صلة بالمتخصصين وما تعانيه الكثير من</w:t>
      </w:r>
      <w:r w:rsidRPr="00DA575A">
        <w:rPr>
          <w:rFonts w:cs="Traditional Arabic"/>
          <w:sz w:val="36"/>
          <w:szCs w:val="36"/>
          <w:lang w:bidi="ar-DZ"/>
        </w:rPr>
        <w:t xml:space="preserve"> </w:t>
      </w:r>
      <w:r w:rsidRPr="00DA575A">
        <w:rPr>
          <w:rFonts w:cs="Traditional Arabic"/>
          <w:sz w:val="36"/>
          <w:szCs w:val="36"/>
          <w:rtl/>
          <w:lang w:bidi="ar-DZ"/>
        </w:rPr>
        <w:t>المتاحف  من نقص الم</w:t>
      </w:r>
      <w:r>
        <w:rPr>
          <w:rFonts w:cs="Traditional Arabic" w:hint="cs"/>
          <w:sz w:val="36"/>
          <w:szCs w:val="36"/>
          <w:rtl/>
          <w:lang w:bidi="ar-DZ"/>
        </w:rPr>
        <w:t>ِؤ</w:t>
      </w:r>
      <w:r w:rsidRPr="00DA575A">
        <w:rPr>
          <w:rFonts w:cs="Traditional Arabic"/>
          <w:sz w:val="36"/>
          <w:szCs w:val="36"/>
          <w:rtl/>
          <w:lang w:bidi="ar-DZ"/>
        </w:rPr>
        <w:t>طرين في الترميم</w:t>
      </w:r>
      <w:r>
        <w:rPr>
          <w:rFonts w:cs="Traditional Arabic" w:hint="cs"/>
          <w:sz w:val="36"/>
          <w:szCs w:val="36"/>
          <w:rtl/>
          <w:lang w:bidi="ar-DZ"/>
        </w:rPr>
        <w:t>،</w:t>
      </w:r>
      <w:r w:rsidRPr="00DA575A">
        <w:rPr>
          <w:rFonts w:cs="Traditional Arabic"/>
          <w:sz w:val="36"/>
          <w:szCs w:val="36"/>
          <w:rtl/>
          <w:lang w:bidi="ar-DZ"/>
        </w:rPr>
        <w:t xml:space="preserve"> و الحفظ</w:t>
      </w:r>
      <w:r>
        <w:rPr>
          <w:rFonts w:cs="Traditional Arabic" w:hint="cs"/>
          <w:sz w:val="36"/>
          <w:szCs w:val="36"/>
          <w:rtl/>
          <w:lang w:bidi="ar-DZ"/>
        </w:rPr>
        <w:t>،</w:t>
      </w:r>
      <w:r w:rsidRPr="00DA575A">
        <w:rPr>
          <w:rFonts w:cs="Traditional Arabic"/>
          <w:sz w:val="36"/>
          <w:szCs w:val="36"/>
          <w:rtl/>
          <w:lang w:bidi="ar-DZ"/>
        </w:rPr>
        <w:t xml:space="preserve"> و التقن</w:t>
      </w:r>
      <w:r w:rsidRPr="00DA575A">
        <w:rPr>
          <w:rFonts w:cs="Traditional Arabic" w:hint="cs"/>
          <w:sz w:val="36"/>
          <w:szCs w:val="36"/>
          <w:rtl/>
          <w:lang w:bidi="ar-DZ"/>
        </w:rPr>
        <w:t>ي</w:t>
      </w:r>
      <w:r w:rsidRPr="00DA575A">
        <w:rPr>
          <w:rFonts w:cs="Traditional Arabic"/>
          <w:sz w:val="36"/>
          <w:szCs w:val="36"/>
          <w:rtl/>
          <w:lang w:bidi="ar-DZ"/>
        </w:rPr>
        <w:t>ين</w:t>
      </w:r>
      <w:r>
        <w:rPr>
          <w:rFonts w:cs="Traditional Arabic" w:hint="cs"/>
          <w:sz w:val="36"/>
          <w:szCs w:val="36"/>
          <w:rtl/>
          <w:lang w:bidi="ar-DZ"/>
        </w:rPr>
        <w:t>،</w:t>
      </w:r>
      <w:r w:rsidRPr="00DA575A">
        <w:rPr>
          <w:rFonts w:cs="Traditional Arabic"/>
          <w:sz w:val="36"/>
          <w:szCs w:val="36"/>
          <w:rtl/>
          <w:lang w:bidi="ar-DZ"/>
        </w:rPr>
        <w:t xml:space="preserve"> وهذا حتى في الدول الغربية </w:t>
      </w:r>
      <w:r w:rsidRPr="00DA575A">
        <w:rPr>
          <w:rFonts w:cs="Traditional Arabic"/>
          <w:sz w:val="36"/>
          <w:szCs w:val="36"/>
          <w:lang w:bidi="ar-DZ"/>
        </w:rPr>
        <w:t xml:space="preserve"> </w:t>
      </w:r>
      <w:r w:rsidRPr="00DA575A">
        <w:rPr>
          <w:rFonts w:cs="Traditional Arabic"/>
          <w:sz w:val="36"/>
          <w:szCs w:val="36"/>
          <w:rtl/>
          <w:lang w:bidi="ar-DZ"/>
        </w:rPr>
        <w:t xml:space="preserve">من خلال الدراسة التي قام بها المعهد الكندي في عرض إحصائيات على آن  </w:t>
      </w:r>
      <w:r w:rsidRPr="00844004">
        <w:rPr>
          <w:rFonts w:asciiTheme="majorBidi" w:hAnsiTheme="majorBidi" w:cstheme="majorBidi"/>
          <w:sz w:val="32"/>
          <w:szCs w:val="32"/>
          <w:rtl/>
          <w:lang w:bidi="ar-DZ"/>
        </w:rPr>
        <w:t>30</w:t>
      </w:r>
      <w:r w:rsidRPr="00DA575A">
        <w:rPr>
          <w:rFonts w:cs="Traditional Arabic"/>
          <w:sz w:val="36"/>
          <w:szCs w:val="36"/>
          <w:rtl/>
          <w:lang w:bidi="ar-DZ"/>
        </w:rPr>
        <w:t xml:space="preserve">بالمئة  من المرممين </w:t>
      </w:r>
      <w:r>
        <w:rPr>
          <w:rFonts w:cs="Traditional Arabic" w:hint="cs"/>
          <w:sz w:val="36"/>
          <w:szCs w:val="36"/>
          <w:rtl/>
          <w:lang w:bidi="ar-DZ"/>
        </w:rPr>
        <w:t>يقومون</w:t>
      </w:r>
      <w:r w:rsidRPr="00DA575A">
        <w:rPr>
          <w:rFonts w:cs="Traditional Arabic"/>
          <w:sz w:val="36"/>
          <w:szCs w:val="36"/>
          <w:rtl/>
          <w:lang w:bidi="ar-DZ"/>
        </w:rPr>
        <w:t xml:space="preserve"> بعمليات  الحفظ الوقائي،عندما ترتبط بعمليات المعالجة  مثل وضع الطلاء الواقي ، تغيير إطار للوحة ..الخ)مما يجبرون على الاكتفاء بإجراء عمليات المعالجة  في ض</w:t>
      </w:r>
      <w:r>
        <w:rPr>
          <w:rFonts w:cs="Traditional Arabic" w:hint="cs"/>
          <w:sz w:val="36"/>
          <w:szCs w:val="36"/>
          <w:rtl/>
          <w:lang w:bidi="ar-DZ"/>
        </w:rPr>
        <w:t>ل غياب  المتخصصين</w:t>
      </w:r>
      <w:r w:rsidRPr="00DA575A">
        <w:rPr>
          <w:rStyle w:val="Appeldenotedefin"/>
          <w:rFonts w:cs="Traditional Arabic"/>
          <w:sz w:val="36"/>
          <w:szCs w:val="36"/>
          <w:rtl/>
          <w:lang w:bidi="ar-DZ"/>
        </w:rPr>
        <w:endnoteReference w:id="2"/>
      </w:r>
      <w:r w:rsidRPr="00DA575A">
        <w:rPr>
          <w:rFonts w:cs="Traditional Arabic"/>
          <w:sz w:val="36"/>
          <w:szCs w:val="36"/>
          <w:rtl/>
          <w:lang w:bidi="ar-DZ"/>
        </w:rPr>
        <w:t>،</w:t>
      </w:r>
      <w:r w:rsidRPr="00FF1862">
        <w:rPr>
          <w:rFonts w:cs="Traditional Arabic"/>
          <w:sz w:val="36"/>
          <w:szCs w:val="36"/>
          <w:rtl/>
          <w:lang w:bidi="ar-DZ"/>
        </w:rPr>
        <w:t xml:space="preserve"> </w:t>
      </w:r>
      <w:r w:rsidRPr="00DA575A">
        <w:rPr>
          <w:rFonts w:cs="Traditional Arabic"/>
          <w:sz w:val="36"/>
          <w:szCs w:val="36"/>
          <w:rtl/>
          <w:lang w:bidi="ar-DZ"/>
        </w:rPr>
        <w:t xml:space="preserve">وعليه أصبح المرمم في بعض المؤسسات  هو </w:t>
      </w:r>
      <w:r>
        <w:rPr>
          <w:rFonts w:cs="Traditional Arabic" w:hint="cs"/>
          <w:sz w:val="36"/>
          <w:szCs w:val="36"/>
          <w:rtl/>
          <w:lang w:bidi="ar-DZ"/>
        </w:rPr>
        <w:t>المسؤول</w:t>
      </w:r>
      <w:r w:rsidRPr="00DA575A">
        <w:rPr>
          <w:rFonts w:cs="Traditional Arabic"/>
          <w:sz w:val="36"/>
          <w:szCs w:val="36"/>
          <w:rtl/>
          <w:lang w:bidi="ar-DZ"/>
        </w:rPr>
        <w:t xml:space="preserve"> الأول عن الحفظ الوقائي.</w:t>
      </w:r>
    </w:p>
    <w:p w:rsidR="00F61E82" w:rsidRDefault="00F61E82" w:rsidP="00F61E82">
      <w:pPr>
        <w:bidi/>
        <w:ind w:firstLine="709"/>
        <w:contextualSpacing/>
        <w:jc w:val="both"/>
        <w:rPr>
          <w:rFonts w:cs="Traditional Arabic"/>
          <w:sz w:val="36"/>
          <w:szCs w:val="36"/>
          <w:rtl/>
          <w:lang w:bidi="ar-DZ"/>
        </w:rPr>
      </w:pPr>
    </w:p>
    <w:p w:rsidR="00F61E82" w:rsidRDefault="00F61E82" w:rsidP="00F61E82">
      <w:pPr>
        <w:bidi/>
        <w:ind w:firstLine="709"/>
        <w:contextualSpacing/>
        <w:jc w:val="both"/>
        <w:rPr>
          <w:rFonts w:cs="Traditional Arabic"/>
          <w:sz w:val="36"/>
          <w:szCs w:val="36"/>
          <w:lang w:bidi="ar-DZ"/>
        </w:rPr>
      </w:pPr>
      <w:r w:rsidRPr="00DA575A">
        <w:rPr>
          <w:rFonts w:cs="Traditional Arabic"/>
          <w:sz w:val="36"/>
          <w:szCs w:val="36"/>
          <w:rtl/>
          <w:lang w:bidi="ar-DZ"/>
        </w:rPr>
        <w:t>وفي ذات السياق يمكن أن يتواجد</w:t>
      </w:r>
      <w:r w:rsidRPr="00DA575A">
        <w:rPr>
          <w:rFonts w:cs="Traditional Arabic" w:hint="cs"/>
          <w:sz w:val="36"/>
          <w:szCs w:val="36"/>
          <w:rtl/>
          <w:lang w:bidi="ar-DZ"/>
        </w:rPr>
        <w:t xml:space="preserve"> </w:t>
      </w:r>
      <w:r w:rsidRPr="00DA575A">
        <w:rPr>
          <w:rFonts w:cs="Traditional Arabic"/>
          <w:sz w:val="36"/>
          <w:szCs w:val="36"/>
          <w:rtl/>
          <w:lang w:bidi="ar-DZ"/>
        </w:rPr>
        <w:t>المحافظ الذي تسند له</w:t>
      </w:r>
      <w:r>
        <w:rPr>
          <w:rFonts w:cs="Traditional Arabic"/>
          <w:sz w:val="36"/>
          <w:szCs w:val="36"/>
          <w:rtl/>
          <w:lang w:bidi="ar-DZ"/>
        </w:rPr>
        <w:t xml:space="preserve"> مهام  بتنظيم العرض  </w:t>
      </w:r>
      <w:r>
        <w:rPr>
          <w:rFonts w:cs="Traditional Arabic" w:hint="cs"/>
          <w:sz w:val="36"/>
          <w:szCs w:val="36"/>
          <w:rtl/>
          <w:lang w:bidi="ar-DZ"/>
        </w:rPr>
        <w:t xml:space="preserve">الاقتناء </w:t>
      </w:r>
      <w:r w:rsidRPr="00DA575A">
        <w:rPr>
          <w:rFonts w:cs="Traditional Arabic" w:hint="cs"/>
          <w:sz w:val="36"/>
          <w:szCs w:val="36"/>
          <w:rtl/>
          <w:lang w:bidi="ar-DZ"/>
        </w:rPr>
        <w:t>وتوفير</w:t>
      </w:r>
      <w:r w:rsidRPr="00DA575A">
        <w:rPr>
          <w:rFonts w:cs="Traditional Arabic"/>
          <w:sz w:val="36"/>
          <w:szCs w:val="36"/>
          <w:rtl/>
          <w:lang w:bidi="ar-DZ"/>
        </w:rPr>
        <w:t xml:space="preserve"> المبادئ</w:t>
      </w:r>
      <w:r w:rsidRPr="00D8721B">
        <w:rPr>
          <w:rFonts w:cs="Traditional Arabic"/>
          <w:sz w:val="36"/>
          <w:szCs w:val="36"/>
          <w:rtl/>
          <w:lang w:bidi="ar-DZ"/>
        </w:rPr>
        <w:t xml:space="preserve"> </w:t>
      </w:r>
      <w:r w:rsidRPr="00DA575A">
        <w:rPr>
          <w:rFonts w:cs="Traditional Arabic"/>
          <w:sz w:val="36"/>
          <w:szCs w:val="36"/>
          <w:rtl/>
          <w:lang w:bidi="ar-DZ"/>
        </w:rPr>
        <w:t>الأساسية</w:t>
      </w:r>
      <w:r>
        <w:rPr>
          <w:rFonts w:cs="Traditional Arabic"/>
          <w:sz w:val="36"/>
          <w:szCs w:val="36"/>
          <w:lang w:bidi="ar-DZ"/>
        </w:rPr>
        <w:t xml:space="preserve"> </w:t>
      </w:r>
      <w:r w:rsidRPr="00EA069F">
        <w:rPr>
          <w:rFonts w:cs="Traditional Arabic"/>
          <w:sz w:val="36"/>
          <w:szCs w:val="36"/>
          <w:rtl/>
          <w:lang w:bidi="ar-DZ"/>
        </w:rPr>
        <w:t xml:space="preserve"> </w:t>
      </w:r>
      <w:r w:rsidRPr="00DA575A">
        <w:rPr>
          <w:rFonts w:cs="Traditional Arabic"/>
          <w:sz w:val="36"/>
          <w:szCs w:val="36"/>
          <w:rtl/>
          <w:lang w:bidi="ar-DZ"/>
        </w:rPr>
        <w:t xml:space="preserve">للاضأة الجيدة ، </w:t>
      </w:r>
      <w:r>
        <w:rPr>
          <w:rFonts w:cs="Traditional Arabic"/>
          <w:sz w:val="36"/>
          <w:szCs w:val="36"/>
          <w:lang w:bidi="ar-DZ"/>
        </w:rPr>
        <w:t xml:space="preserve"> </w:t>
      </w:r>
      <w:r w:rsidRPr="00DA575A">
        <w:rPr>
          <w:rFonts w:cs="Traditional Arabic"/>
          <w:sz w:val="36"/>
          <w:szCs w:val="36"/>
          <w:rtl/>
          <w:lang w:bidi="ar-DZ"/>
        </w:rPr>
        <w:t>ولكن في ضل غياب  المرمم وهو ما</w:t>
      </w:r>
      <w:r>
        <w:rPr>
          <w:rFonts w:cs="Traditional Arabic" w:hint="cs"/>
          <w:sz w:val="36"/>
          <w:szCs w:val="36"/>
          <w:rtl/>
          <w:lang w:bidi="ar-DZ"/>
        </w:rPr>
        <w:t xml:space="preserve"> </w:t>
      </w:r>
      <w:r w:rsidRPr="00DA575A">
        <w:rPr>
          <w:rFonts w:cs="Traditional Arabic"/>
          <w:sz w:val="36"/>
          <w:szCs w:val="36"/>
          <w:rtl/>
          <w:lang w:bidi="ar-DZ"/>
        </w:rPr>
        <w:t>تشهده تقريبا المتاحف</w:t>
      </w:r>
      <w:r>
        <w:rPr>
          <w:rFonts w:cs="Traditional Arabic"/>
          <w:sz w:val="36"/>
          <w:szCs w:val="36"/>
          <w:lang w:bidi="ar-DZ"/>
        </w:rPr>
        <w:t xml:space="preserve"> </w:t>
      </w:r>
      <w:r w:rsidRPr="00DA575A">
        <w:rPr>
          <w:rFonts w:cs="Traditional Arabic"/>
          <w:sz w:val="36"/>
          <w:szCs w:val="36"/>
          <w:rtl/>
          <w:lang w:bidi="ar-DZ"/>
        </w:rPr>
        <w:t xml:space="preserve"> </w:t>
      </w:r>
    </w:p>
    <w:p w:rsidR="00F61E82" w:rsidRDefault="00F61E82" w:rsidP="00F61E82">
      <w:pPr>
        <w:bidi/>
        <w:ind w:firstLine="709"/>
        <w:contextualSpacing/>
        <w:jc w:val="both"/>
        <w:rPr>
          <w:rFonts w:cs="Traditional Arabic"/>
          <w:sz w:val="36"/>
          <w:szCs w:val="36"/>
          <w:lang w:bidi="ar-DZ"/>
        </w:rPr>
      </w:pPr>
    </w:p>
    <w:p w:rsidR="00F61E82" w:rsidRDefault="00F61E82" w:rsidP="00F61E82">
      <w:pPr>
        <w:bidi/>
        <w:ind w:firstLine="709"/>
        <w:contextualSpacing/>
        <w:jc w:val="both"/>
        <w:rPr>
          <w:rFonts w:cs="Traditional Arabic"/>
          <w:sz w:val="36"/>
          <w:szCs w:val="36"/>
          <w:lang w:bidi="ar-DZ"/>
        </w:rPr>
      </w:pPr>
    </w:p>
    <w:p w:rsidR="00F61E82" w:rsidRDefault="00F61E82" w:rsidP="00F61E82">
      <w:pPr>
        <w:bidi/>
        <w:ind w:firstLine="709"/>
        <w:contextualSpacing/>
        <w:jc w:val="both"/>
        <w:rPr>
          <w:rFonts w:cs="Traditional Arabic"/>
          <w:sz w:val="36"/>
          <w:szCs w:val="36"/>
          <w:rtl/>
          <w:lang w:bidi="ar-DZ"/>
        </w:rPr>
      </w:pPr>
      <w:r w:rsidRPr="00DA575A">
        <w:rPr>
          <w:rFonts w:cs="Traditional Arabic"/>
          <w:sz w:val="36"/>
          <w:szCs w:val="36"/>
          <w:rtl/>
          <w:lang w:bidi="ar-DZ"/>
        </w:rPr>
        <w:lastRenderedPageBreak/>
        <w:t>بعدم توفرها على قسم للترميم و على الخصوص المتاحف الجهوية ، وعليه اختلف الدور و المسؤولية</w:t>
      </w:r>
      <w:r>
        <w:rPr>
          <w:rFonts w:cs="Traditional Arabic" w:hint="cs"/>
          <w:sz w:val="36"/>
          <w:szCs w:val="36"/>
          <w:rtl/>
          <w:lang w:bidi="ar-DZ"/>
        </w:rPr>
        <w:t xml:space="preserve"> </w:t>
      </w:r>
      <w:r w:rsidRPr="00DA575A">
        <w:rPr>
          <w:rFonts w:cs="Traditional Arabic"/>
          <w:sz w:val="36"/>
          <w:szCs w:val="36"/>
          <w:rtl/>
          <w:lang w:bidi="ar-DZ"/>
        </w:rPr>
        <w:t>بين المرمم و المحافظ  تبعا  لحجم لإمكانيات المادية للمؤسسة المتحفية.</w:t>
      </w:r>
    </w:p>
    <w:p w:rsidR="008705F7" w:rsidRDefault="008705F7" w:rsidP="00F61E82">
      <w:pPr>
        <w:bidi/>
        <w:jc w:val="both"/>
        <w:rPr>
          <w:lang w:bidi="ar-DZ"/>
        </w:rPr>
      </w:pPr>
    </w:p>
    <w:sectPr w:rsidR="008705F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5F7" w:rsidRDefault="008705F7" w:rsidP="00F61E82">
      <w:pPr>
        <w:spacing w:after="0" w:line="240" w:lineRule="auto"/>
      </w:pPr>
      <w:r>
        <w:separator/>
      </w:r>
    </w:p>
  </w:endnote>
  <w:endnote w:type="continuationSeparator" w:id="1">
    <w:p w:rsidR="008705F7" w:rsidRDefault="008705F7" w:rsidP="00F61E82">
      <w:pPr>
        <w:spacing w:after="0" w:line="240" w:lineRule="auto"/>
      </w:pPr>
      <w:r>
        <w:continuationSeparator/>
      </w:r>
    </w:p>
  </w:endnote>
  <w:endnote w:id="2">
    <w:p w:rsidR="00F61E82" w:rsidRPr="00A326FF" w:rsidRDefault="00F61E82" w:rsidP="00F61E82">
      <w:pPr>
        <w:contextualSpacing/>
        <w:jc w:val="both"/>
        <w:rPr>
          <w:rStyle w:val="Appeldenotedefin"/>
          <w:rFonts w:asciiTheme="majorBidi" w:hAnsiTheme="majorBidi" w:cs="Traditional Arabic"/>
          <w:sz w:val="26"/>
          <w:szCs w:val="26"/>
          <w:u w:val="single"/>
        </w:rPr>
      </w:pPr>
      <w:r w:rsidRPr="00F13CF6">
        <w:rPr>
          <w:rStyle w:val="Appeldenotedefin"/>
          <w:rFonts w:asciiTheme="majorBidi" w:hAnsiTheme="majorBidi" w:cs="Traditional Arabic"/>
          <w:sz w:val="26"/>
          <w:szCs w:val="26"/>
        </w:rPr>
        <w:endnoteRef/>
      </w:r>
      <w:r>
        <w:rPr>
          <w:rStyle w:val="Appeldenotedefin"/>
          <w:rFonts w:asciiTheme="majorBidi" w:hAnsiTheme="majorBidi" w:cs="Traditional Arabic"/>
          <w:sz w:val="26"/>
          <w:szCs w:val="26"/>
        </w:rPr>
        <w:t> Colette</w:t>
      </w:r>
      <w:r w:rsidRPr="00A326FF">
        <w:rPr>
          <w:rStyle w:val="Appeldenotedefin"/>
          <w:rFonts w:asciiTheme="majorBidi" w:hAnsiTheme="majorBidi" w:cs="Traditional Arabic"/>
          <w:sz w:val="26"/>
          <w:szCs w:val="26"/>
        </w:rPr>
        <w:t>Naud</w:t>
      </w:r>
      <w:r w:rsidRPr="00C335C0">
        <w:rPr>
          <w:rStyle w:val="Appeldenotedefin"/>
          <w:rFonts w:asciiTheme="majorBidi" w:hAnsiTheme="majorBidi" w:cs="Traditional Arabic"/>
          <w:sz w:val="20"/>
          <w:szCs w:val="20"/>
        </w:rPr>
        <w:t>,</w:t>
      </w:r>
      <w:r w:rsidRPr="00C335C0">
        <w:rPr>
          <w:rFonts w:asciiTheme="majorBidi" w:hAnsiTheme="majorBidi" w:cs="Traditional Arabic"/>
          <w:sz w:val="20"/>
          <w:szCs w:val="20"/>
        </w:rPr>
        <w:t>&lt;&lt;</w:t>
      </w:r>
      <w:r>
        <w:rPr>
          <w:rStyle w:val="Appeldenotedefin"/>
          <w:rFonts w:asciiTheme="majorBidi" w:hAnsiTheme="majorBidi" w:cs="Traditional Arabic"/>
          <w:sz w:val="26"/>
          <w:szCs w:val="26"/>
        </w:rPr>
        <w:t>la conservation préven</w:t>
      </w:r>
      <w:r>
        <w:rPr>
          <w:rFonts w:asciiTheme="majorBidi" w:hAnsiTheme="majorBidi" w:cs="Traditional Arabic"/>
          <w:sz w:val="26"/>
          <w:szCs w:val="26"/>
        </w:rPr>
        <w:t>tive</w:t>
      </w:r>
      <w:r w:rsidRPr="00A326FF">
        <w:rPr>
          <w:rStyle w:val="Appeldenotedefin"/>
          <w:rFonts w:asciiTheme="majorBidi" w:hAnsiTheme="majorBidi" w:cs="Traditional Arabic"/>
          <w:sz w:val="26"/>
          <w:szCs w:val="26"/>
        </w:rPr>
        <w:t xml:space="preserve"> un</w:t>
      </w:r>
      <w:r>
        <w:rPr>
          <w:rStyle w:val="Appeldenotedefin"/>
          <w:rFonts w:asciiTheme="majorBidi" w:hAnsiTheme="majorBidi" w:cs="Traditional Arabic"/>
          <w:sz w:val="26"/>
          <w:szCs w:val="26"/>
        </w:rPr>
        <w:t>e responsabilité bien partagée</w:t>
      </w:r>
      <w:r w:rsidRPr="00C335C0">
        <w:rPr>
          <w:rFonts w:asciiTheme="majorBidi" w:hAnsiTheme="majorBidi" w:cs="Traditional Arabic"/>
          <w:sz w:val="20"/>
          <w:szCs w:val="20"/>
        </w:rPr>
        <w:t>&gt;&gt;</w:t>
      </w:r>
      <w:r w:rsidRPr="00C335C0">
        <w:rPr>
          <w:rStyle w:val="Appeldenotedefin"/>
          <w:rFonts w:asciiTheme="majorBidi" w:hAnsiTheme="majorBidi" w:cs="Traditional Arabic"/>
          <w:sz w:val="20"/>
          <w:szCs w:val="20"/>
        </w:rPr>
        <w:t>,</w:t>
      </w:r>
      <w:r>
        <w:rPr>
          <w:rFonts w:asciiTheme="majorBidi" w:hAnsiTheme="majorBidi" w:cs="Traditional Arabic"/>
          <w:sz w:val="20"/>
          <w:szCs w:val="20"/>
        </w:rPr>
        <w:t xml:space="preserve">     </w:t>
      </w:r>
      <w:r w:rsidRPr="00A326FF">
        <w:rPr>
          <w:rStyle w:val="Appeldenotedefin"/>
          <w:rFonts w:asciiTheme="majorBidi" w:hAnsiTheme="majorBidi" w:cs="Traditional Arabic"/>
          <w:sz w:val="26"/>
          <w:szCs w:val="26"/>
        </w:rPr>
        <w:t>colloque international deL’ARAAFU</w:t>
      </w:r>
      <w:r>
        <w:rPr>
          <w:rStyle w:val="Appeldenotedefin"/>
          <w:rFonts w:asciiTheme="majorBidi" w:hAnsiTheme="majorBidi" w:cs="Traditional Arabic" w:hint="cs"/>
          <w:sz w:val="26"/>
          <w:szCs w:val="26"/>
          <w:rtl/>
        </w:rPr>
        <w:t>،</w:t>
      </w:r>
      <w:r w:rsidRPr="00A326FF">
        <w:rPr>
          <w:rStyle w:val="Appeldenotedefin"/>
          <w:rFonts w:asciiTheme="majorBidi" w:hAnsiTheme="majorBidi" w:cs="Traditional Arabic"/>
          <w:sz w:val="26"/>
          <w:szCs w:val="26"/>
        </w:rPr>
        <w:t>paris</w:t>
      </w:r>
      <w:r>
        <w:rPr>
          <w:rFonts w:asciiTheme="majorBidi" w:hAnsiTheme="majorBidi" w:cs="Traditional Arabic"/>
          <w:sz w:val="26"/>
          <w:szCs w:val="26"/>
        </w:rPr>
        <w:t>,</w:t>
      </w:r>
      <w:r w:rsidRPr="00A326FF">
        <w:rPr>
          <w:rStyle w:val="Appeldenotedefin"/>
          <w:rFonts w:asciiTheme="majorBidi" w:hAnsiTheme="majorBidi" w:cs="Traditional Arabic"/>
          <w:sz w:val="26"/>
          <w:szCs w:val="26"/>
        </w:rPr>
        <w:t>1992</w:t>
      </w:r>
      <w:r>
        <w:rPr>
          <w:rFonts w:asciiTheme="majorBidi" w:hAnsiTheme="majorBidi" w:cs="Traditional Arabic"/>
          <w:sz w:val="26"/>
          <w:szCs w:val="26"/>
        </w:rPr>
        <w:t>,</w:t>
      </w:r>
      <w:r w:rsidRPr="00A326FF">
        <w:rPr>
          <w:rStyle w:val="Appeldenotedefin"/>
          <w:rFonts w:asciiTheme="majorBidi" w:hAnsiTheme="majorBidi" w:cs="Traditional Arabic"/>
          <w:sz w:val="26"/>
          <w:szCs w:val="26"/>
        </w:rPr>
        <w:t>p</w:t>
      </w:r>
      <w:r>
        <w:rPr>
          <w:rFonts w:asciiTheme="majorBidi" w:hAnsiTheme="majorBidi" w:cs="Traditional Arabic"/>
          <w:sz w:val="26"/>
          <w:szCs w:val="26"/>
        </w:rPr>
        <w:t>.</w:t>
      </w:r>
      <w:r w:rsidRPr="00A326FF">
        <w:rPr>
          <w:rStyle w:val="Appeldenotedefin"/>
          <w:rFonts w:asciiTheme="majorBidi" w:hAnsiTheme="majorBidi" w:cs="Traditional Arabic"/>
          <w:sz w:val="26"/>
          <w:szCs w:val="26"/>
        </w:rPr>
        <w:t>19</w:t>
      </w:r>
      <w:r>
        <w:rPr>
          <w:rFonts w:asciiTheme="majorBidi" w:hAnsiTheme="majorBidi" w:cs="Traditional Arabic" w:hint="cs"/>
          <w:sz w:val="26"/>
          <w:szCs w:val="26"/>
          <w:rtl/>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5F7" w:rsidRDefault="008705F7" w:rsidP="00F61E82">
      <w:pPr>
        <w:spacing w:after="0" w:line="240" w:lineRule="auto"/>
      </w:pPr>
      <w:r>
        <w:separator/>
      </w:r>
    </w:p>
  </w:footnote>
  <w:footnote w:type="continuationSeparator" w:id="1">
    <w:p w:rsidR="008705F7" w:rsidRDefault="008705F7" w:rsidP="00F61E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2BA7"/>
    <w:multiLevelType w:val="hybridMultilevel"/>
    <w:tmpl w:val="A3EAB268"/>
    <w:lvl w:ilvl="0" w:tplc="33F00D32">
      <w:start w:val="1"/>
      <w:numFmt w:val="decimal"/>
      <w:lvlText w:val="%1-"/>
      <w:lvlJc w:val="left"/>
      <w:pPr>
        <w:ind w:left="360" w:hanging="360"/>
      </w:pPr>
      <w:rPr>
        <w:rFonts w:hint="default"/>
      </w:rPr>
    </w:lvl>
    <w:lvl w:ilvl="1" w:tplc="040C0019" w:tentative="1">
      <w:start w:val="1"/>
      <w:numFmt w:val="lowerLetter"/>
      <w:lvlText w:val="%2."/>
      <w:lvlJc w:val="left"/>
      <w:pPr>
        <w:ind w:left="2302" w:hanging="360"/>
      </w:pPr>
    </w:lvl>
    <w:lvl w:ilvl="2" w:tplc="040C001B" w:tentative="1">
      <w:start w:val="1"/>
      <w:numFmt w:val="lowerRoman"/>
      <w:lvlText w:val="%3."/>
      <w:lvlJc w:val="right"/>
      <w:pPr>
        <w:ind w:left="3022" w:hanging="180"/>
      </w:pPr>
    </w:lvl>
    <w:lvl w:ilvl="3" w:tplc="040C000F" w:tentative="1">
      <w:start w:val="1"/>
      <w:numFmt w:val="decimal"/>
      <w:lvlText w:val="%4."/>
      <w:lvlJc w:val="left"/>
      <w:pPr>
        <w:ind w:left="3742" w:hanging="360"/>
      </w:pPr>
    </w:lvl>
    <w:lvl w:ilvl="4" w:tplc="040C0019" w:tentative="1">
      <w:start w:val="1"/>
      <w:numFmt w:val="lowerLetter"/>
      <w:lvlText w:val="%5."/>
      <w:lvlJc w:val="left"/>
      <w:pPr>
        <w:ind w:left="4462" w:hanging="360"/>
      </w:pPr>
    </w:lvl>
    <w:lvl w:ilvl="5" w:tplc="040C001B" w:tentative="1">
      <w:start w:val="1"/>
      <w:numFmt w:val="lowerRoman"/>
      <w:lvlText w:val="%6."/>
      <w:lvlJc w:val="right"/>
      <w:pPr>
        <w:ind w:left="5182" w:hanging="180"/>
      </w:pPr>
    </w:lvl>
    <w:lvl w:ilvl="6" w:tplc="040C000F" w:tentative="1">
      <w:start w:val="1"/>
      <w:numFmt w:val="decimal"/>
      <w:lvlText w:val="%7."/>
      <w:lvlJc w:val="left"/>
      <w:pPr>
        <w:ind w:left="5902" w:hanging="360"/>
      </w:pPr>
    </w:lvl>
    <w:lvl w:ilvl="7" w:tplc="040C0019" w:tentative="1">
      <w:start w:val="1"/>
      <w:numFmt w:val="lowerLetter"/>
      <w:lvlText w:val="%8."/>
      <w:lvlJc w:val="left"/>
      <w:pPr>
        <w:ind w:left="6622" w:hanging="360"/>
      </w:pPr>
    </w:lvl>
    <w:lvl w:ilvl="8" w:tplc="040C001B" w:tentative="1">
      <w:start w:val="1"/>
      <w:numFmt w:val="lowerRoman"/>
      <w:lvlText w:val="%9."/>
      <w:lvlJc w:val="right"/>
      <w:pPr>
        <w:ind w:left="734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61E82"/>
    <w:rsid w:val="008705F7"/>
    <w:rsid w:val="00F61E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1E82"/>
    <w:pPr>
      <w:ind w:left="720"/>
      <w:contextualSpacing/>
    </w:pPr>
    <w:rPr>
      <w:rFonts w:eastAsiaTheme="minorHAnsi"/>
      <w:lang w:eastAsia="en-US"/>
    </w:rPr>
  </w:style>
  <w:style w:type="character" w:styleId="Appeldenotedefin">
    <w:name w:val="endnote reference"/>
    <w:basedOn w:val="Policepardfaut"/>
    <w:uiPriority w:val="99"/>
    <w:semiHidden/>
    <w:unhideWhenUsed/>
    <w:rsid w:val="00F61E8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1558</Characters>
  <Application>Microsoft Office Word</Application>
  <DocSecurity>0</DocSecurity>
  <Lines>12</Lines>
  <Paragraphs>3</Paragraphs>
  <ScaleCrop>false</ScaleCrop>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المشرفة:</dc:creator>
  <cp:keywords/>
  <dc:description/>
  <cp:lastModifiedBy> المشرفة:</cp:lastModifiedBy>
  <cp:revision>2</cp:revision>
  <dcterms:created xsi:type="dcterms:W3CDTF">2021-02-10T22:11:00Z</dcterms:created>
  <dcterms:modified xsi:type="dcterms:W3CDTF">2021-02-10T22:11:00Z</dcterms:modified>
</cp:coreProperties>
</file>