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36"/>
          <w:szCs w:val="36"/>
        </w:rPr>
        <w:t>LES CALQUES ET LEUR UTILISATION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Les calques sont similaires à des couches transparentes dans lesquelles vous pouvez organiser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 regrouper différents types d’informations relatives au dessin. Ses calques vous aident à structurer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votre dessin, notamment s’il est complexe, en différant niveaux.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Par exemple, dans un dessin d’architecture, vous pouvez consacrez un calque à la représentation des</w:t>
      </w:r>
    </w:p>
    <w:p w:rsidR="004D03BD" w:rsidRDefault="00762D1A" w:rsidP="00762D1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murs, un 2</w:t>
      </w:r>
      <w:r>
        <w:rPr>
          <w:rFonts w:ascii="TimesNewRoman" w:hAnsi="TimesNewRoman" w:cs="TimesNewRoman"/>
          <w:sz w:val="16"/>
          <w:szCs w:val="16"/>
        </w:rPr>
        <w:t xml:space="preserve">éme </w:t>
      </w:r>
      <w:r>
        <w:rPr>
          <w:rFonts w:ascii="TimesNewRoman" w:hAnsi="TimesNewRoman" w:cs="TimesNewRoman"/>
          <w:sz w:val="24"/>
          <w:szCs w:val="24"/>
        </w:rPr>
        <w:t>au câblage électrique, un 3</w:t>
      </w:r>
      <w:r>
        <w:rPr>
          <w:rFonts w:ascii="TimesNewRoman" w:hAnsi="TimesNewRoman" w:cs="TimesNewRoman"/>
          <w:sz w:val="16"/>
          <w:szCs w:val="16"/>
        </w:rPr>
        <w:t xml:space="preserve">éme </w:t>
      </w:r>
      <w:r>
        <w:rPr>
          <w:rFonts w:ascii="TimesNewRoman" w:hAnsi="TimesNewRoman" w:cs="TimesNewRoman"/>
          <w:sz w:val="24"/>
          <w:szCs w:val="24"/>
        </w:rPr>
        <w:t>à la plomberie, etc.…</w:t>
      </w:r>
    </w:p>
    <w:p w:rsidR="00762D1A" w:rsidRDefault="00762D1A" w:rsidP="00762D1A">
      <w:r>
        <w:rPr>
          <w:noProof/>
          <w:lang w:eastAsia="fr-FR"/>
        </w:rPr>
        <w:drawing>
          <wp:inline distT="0" distB="0" distL="0" distR="0">
            <wp:extent cx="4940300" cy="34544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AutoCAD peut travailler sur un nombre très grand de calques différents (128).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Vous pouvez éclairer ou éteindre un calque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Vous pouvez changer de couleur ou de type de trait.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Vous pouvez choisir le calque « actuel» ; c.à.d. le calque ou seront construites les entités.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 xml:space="preserve">Vous pouvez « </w:t>
      </w:r>
      <w:r>
        <w:rPr>
          <w:rFonts w:ascii="TimesNewRoman,Bold" w:eastAsia="Wingdings-Regular" w:hAnsi="TimesNewRoman,Bold" w:cs="TimesNewRoman,Bold"/>
          <w:b/>
          <w:bCs/>
          <w:color w:val="000000"/>
          <w:sz w:val="24"/>
          <w:szCs w:val="24"/>
        </w:rPr>
        <w:t xml:space="preserve">Geler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» un calque ; c.à.d faire en sorte que pendant une régénération (ZOOM par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TimesNewRoman" w:eastAsia="Wingdings-Regular" w:hAnsi="TimesNewRoman" w:cs="TimesNewRoman"/>
          <w:color w:val="000000"/>
          <w:sz w:val="24"/>
          <w:szCs w:val="24"/>
        </w:rPr>
        <w:t>exemple), les entités de ce calque soient ignorées (ce qui accélère la procédure). Inversement, on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TimesNewRoman" w:eastAsia="Wingdings-Regular" w:hAnsi="TimesNewRoman" w:cs="TimesNewRoman"/>
          <w:color w:val="000000"/>
          <w:sz w:val="24"/>
          <w:szCs w:val="24"/>
        </w:rPr>
        <w:t>peut le «</w:t>
      </w:r>
      <w:r>
        <w:rPr>
          <w:rFonts w:ascii="TimesNewRoman,Bold" w:eastAsia="Wingdings-Regular" w:hAnsi="TimesNewRoman,Bold" w:cs="TimesNewRoman,Bold"/>
          <w:b/>
          <w:bCs/>
          <w:color w:val="000000"/>
          <w:sz w:val="24"/>
          <w:szCs w:val="24"/>
        </w:rPr>
        <w:t xml:space="preserve">Libérer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»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C1C1C1"/>
          <w:sz w:val="24"/>
          <w:szCs w:val="24"/>
        </w:rPr>
        <w:t>􀂾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􀂾</w:t>
      </w:r>
      <w:r>
        <w:rPr>
          <w:rFonts w:ascii="Wingdings-Regular" w:eastAsia="Wingdings-Regular" w:cs="Wingdings-Regular"/>
          <w:color w:val="000000"/>
          <w:sz w:val="24"/>
          <w:szCs w:val="24"/>
        </w:rPr>
        <w:t xml:space="preserve"> </w:t>
      </w:r>
      <w:r>
        <w:rPr>
          <w:rFonts w:ascii="TimesNewRoman" w:eastAsia="Wingdings-Regular" w:hAnsi="TimesNewRoman" w:cs="TimesNewRoman"/>
          <w:color w:val="000000"/>
          <w:sz w:val="24"/>
          <w:szCs w:val="24"/>
        </w:rPr>
        <w:t>Si vous utilisez un traceur noir et blanc; Les couleurs attribuées aux calques peuvent servir à gérer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TimesNewRoman" w:eastAsia="Wingdings-Regular" w:hAnsi="TimesNewRoman" w:cs="TimesNewRoman"/>
          <w:color w:val="000000"/>
          <w:sz w:val="24"/>
          <w:szCs w:val="24"/>
        </w:rPr>
        <w:t>les largeurs de ligne. Lorsque vous affectez chaque couleur à une plume particulière. Le traceur</w:t>
      </w:r>
    </w:p>
    <w:p w:rsidR="00762D1A" w:rsidRDefault="00762D1A" w:rsidP="00762D1A">
      <w:pPr>
        <w:rPr>
          <w:rFonts w:ascii="TimesNewRoman" w:eastAsia="Wingdings-Regular" w:hAnsi="TimesNewRoman" w:cs="TimesNewRoman"/>
          <w:color w:val="000000"/>
          <w:sz w:val="24"/>
          <w:szCs w:val="24"/>
        </w:rPr>
      </w:pPr>
      <w:r>
        <w:rPr>
          <w:rFonts w:ascii="TimesNewRoman" w:eastAsia="Wingdings-Regular" w:hAnsi="TimesNewRoman" w:cs="TimesNewRoman"/>
          <w:color w:val="000000"/>
          <w:sz w:val="24"/>
          <w:szCs w:val="24"/>
        </w:rPr>
        <w:t>utilise alors la plume (ou l’épaisseur de la plume) associée à la couleur du calque.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CRÉATION D’UN NOUVEAU CALQUE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Pour créer un nouveau calque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Format, choisissez l’option Calque, ou bien 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302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boite de dialogue «propriétés de calque et type de ligne » cliquez sur le bouton Nouveau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un nouveau calque s’affiche, appelé temporairement (Calque 1)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Entrez un nouveau nom de calque.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 nom d’un calque comporte au max. 31 caractères. Il peut s’agir de lettre, chiffre ou caractères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spéciaux.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Les espaces ne sont pas autorisés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Pour créer plusieurs calques, validez toujours après création d’un nom de calque.</w:t>
      </w:r>
    </w:p>
    <w:p w:rsidR="00762D1A" w:rsidRDefault="00762D1A" w:rsidP="00762D1A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Cliquez sur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OK </w:t>
      </w:r>
      <w:r>
        <w:rPr>
          <w:rFonts w:ascii="TimesNewRoman" w:hAnsi="TimesNewRoman" w:cs="TimesNewRoman"/>
          <w:color w:val="000000"/>
          <w:sz w:val="24"/>
          <w:szCs w:val="24"/>
        </w:rPr>
        <w:t>pour sauvegarder la saisie.</w:t>
      </w:r>
    </w:p>
    <w:p w:rsidR="00762D1A" w:rsidRDefault="00762D1A" w:rsidP="00762D1A">
      <w:r>
        <w:rPr>
          <w:noProof/>
          <w:lang w:eastAsia="fr-FR"/>
        </w:rPr>
        <w:drawing>
          <wp:inline distT="0" distB="0" distL="0" distR="0">
            <wp:extent cx="5760720" cy="190371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2. PROPRIÉTÉS DES CALQUES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activer un calque associé à une entité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Sélectionnez l’entité puis cliquez sur l’icône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302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activer ou désactiver plusieurs calque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Lorsqu’un calque est désactivé, il n’apparaît plus à l’écran ni à la papier sur traceur ou imprimante.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Format, choisissez l’option Calque, ou bien cliquez sur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302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boite de dialogue « Propriétés de calque et type de ligne » sélectionnez les calque que vous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voulez afficher ou masquer.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Cliquez sur l’icône ampoule pour les activer ou les désactiver.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également choisir Détails pour la même fonction.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Validez par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OK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geler ou libérer un calque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Vous pouvez geler des calques pour accélérer les opérations des commandes ZOOM, PAN et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POINTVUE, améliorer la sélection des objets et réduire la régénération des dessins complexe.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AutoCAD n’affiche pas les objets figurant sur les calques gelés et ne les reproduit pas sur papier.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Gelez les calques que vous voulez masquer pendant une longue période. Lorsque vous « libérez » un calque gelé, AutoCAD régénère et affiche les objets de ce calque.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geler ou libérer un calque procéder de la même manière que précédemment, sauf que cette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fois ci vous devez cliquez sur l’icône Geler/Libérer. Vous pouvez également choisir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Détails </w:t>
      </w:r>
      <w:r>
        <w:rPr>
          <w:rFonts w:ascii="TimesNewRoman" w:hAnsi="TimesNewRoman" w:cs="TimesNewRoman"/>
          <w:color w:val="000000"/>
          <w:sz w:val="24"/>
          <w:szCs w:val="24"/>
        </w:rPr>
        <w:t>et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sélectionner, ou non, l’option Geler pour geler ou libérer un calque.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renommer un calque.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Format, choisissez l’option Calque, ou bien cliquez sur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200" cy="3048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boite de dialogue « Propriétés de calque et type de ligne » sélectionnez un calque que vous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voulez renommer puis tapez le nom et validez par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OK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762D1A" w:rsidRDefault="00762D1A" w:rsidP="00762D1A">
      <w:pP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Vous pouvez également choisir Détails pour la même fonction.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Pour supprimer un calque :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Dans le menu Format, choisissez l’option Calque, ou bien cliquez sur </w:t>
      </w:r>
      <w:r>
        <w:rPr>
          <w:rFonts w:ascii="TimesNewRoman" w:hAnsi="TimesNewRoman" w:cs="TimesNew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92100" cy="3302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.</w:t>
      </w:r>
    </w:p>
    <w:p w:rsidR="00762D1A" w:rsidRDefault="00762D1A" w:rsidP="00762D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Arial" w:hAnsi="Arial" w:cs="Arial"/>
          <w:color w:val="C1C1C1"/>
          <w:sz w:val="24"/>
          <w:szCs w:val="24"/>
        </w:rPr>
        <w:t>􀁥</w:t>
      </w:r>
      <w:r>
        <w:rPr>
          <w:rFonts w:ascii="Arial" w:hAnsi="Arial" w:cs="Arial"/>
          <w:color w:val="000000"/>
          <w:sz w:val="24"/>
          <w:szCs w:val="24"/>
        </w:rPr>
        <w:t>􀁥</w:t>
      </w:r>
      <w:r>
        <w:rPr>
          <w:rFonts w:ascii="CommercialPiBT-Regular" w:hAnsi="CommercialPiBT-Regular" w:cs="CommercialPiBT-Regular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Dans la boite de dialogue « Propriétés de calque et type de ligne » sélectionnez un calque ou</w:t>
      </w:r>
    </w:p>
    <w:p w:rsidR="00762D1A" w:rsidRDefault="00762D1A" w:rsidP="00762D1A">
      <w:r>
        <w:rPr>
          <w:rFonts w:ascii="TimesNewRoman" w:hAnsi="TimesNewRoman" w:cs="TimesNewRoman"/>
          <w:color w:val="000000"/>
          <w:sz w:val="24"/>
          <w:szCs w:val="24"/>
        </w:rPr>
        <w:t xml:space="preserve">plusieurs calques puis cliquez sur supprimer et validez par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OK.</w:t>
      </w:r>
    </w:p>
    <w:sectPr w:rsidR="00762D1A" w:rsidSect="004D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mercialPi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762D1A"/>
    <w:rsid w:val="004D03BD"/>
    <w:rsid w:val="00536B3C"/>
    <w:rsid w:val="006761DE"/>
    <w:rsid w:val="0076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BELDJOUZI</cp:lastModifiedBy>
  <cp:revision>2</cp:revision>
  <dcterms:created xsi:type="dcterms:W3CDTF">2021-02-14T21:55:00Z</dcterms:created>
  <dcterms:modified xsi:type="dcterms:W3CDTF">2021-02-14T21:55:00Z</dcterms:modified>
</cp:coreProperties>
</file>