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39920" w14:textId="77777777" w:rsidR="00342D82" w:rsidRDefault="00342D82" w:rsidP="00342D82">
      <w:pPr>
        <w:rPr>
          <w:rFonts w:asciiTheme="majorBidi" w:hAnsiTheme="majorBidi" w:cstheme="majorBidi"/>
          <w:b/>
          <w:bCs/>
          <w:sz w:val="28"/>
          <w:szCs w:val="28"/>
          <w:lang w:val="en-US"/>
        </w:rPr>
      </w:pPr>
    </w:p>
    <w:p w14:paraId="18B8FDB4" w14:textId="6DD713E8" w:rsidR="00342D82" w:rsidRPr="00493484" w:rsidRDefault="00342D82" w:rsidP="00342D82">
      <w:pPr>
        <w:rPr>
          <w:rFonts w:asciiTheme="majorBidi" w:hAnsiTheme="majorBidi" w:cstheme="majorBidi"/>
          <w:sz w:val="28"/>
          <w:szCs w:val="28"/>
          <w:lang w:val="en-US"/>
        </w:rPr>
      </w:pPr>
      <w:r w:rsidRPr="00493484">
        <w:rPr>
          <w:rFonts w:asciiTheme="majorBidi" w:hAnsiTheme="majorBidi" w:cstheme="majorBidi"/>
          <w:b/>
          <w:bCs/>
          <w:sz w:val="28"/>
          <w:szCs w:val="28"/>
          <w:lang w:val="en-US"/>
        </w:rPr>
        <w:t>Teacher’s Name:</w:t>
      </w:r>
      <w:r w:rsidRPr="00493484">
        <w:rPr>
          <w:rFonts w:asciiTheme="majorBidi" w:hAnsiTheme="majorBidi" w:cstheme="majorBidi"/>
          <w:sz w:val="28"/>
          <w:szCs w:val="28"/>
          <w:lang w:val="en-US"/>
        </w:rPr>
        <w:t xml:space="preserve"> Ms. Khadidja HAMMOUDI</w:t>
      </w:r>
    </w:p>
    <w:p w14:paraId="0BE9987E" w14:textId="77777777" w:rsidR="00342D82" w:rsidRPr="00493484" w:rsidRDefault="00342D82" w:rsidP="00342D82">
      <w:pPr>
        <w:rPr>
          <w:rFonts w:asciiTheme="majorBidi" w:hAnsiTheme="majorBidi" w:cstheme="majorBidi"/>
          <w:sz w:val="28"/>
          <w:szCs w:val="28"/>
          <w:lang w:val="en-US"/>
        </w:rPr>
      </w:pPr>
      <w:r w:rsidRPr="00493484">
        <w:rPr>
          <w:rFonts w:asciiTheme="majorBidi" w:hAnsiTheme="majorBidi" w:cstheme="majorBidi"/>
          <w:b/>
          <w:bCs/>
          <w:sz w:val="28"/>
          <w:szCs w:val="28"/>
          <w:lang w:val="en-US"/>
        </w:rPr>
        <w:t>Level:</w:t>
      </w:r>
      <w:r w:rsidRPr="00493484">
        <w:rPr>
          <w:rFonts w:asciiTheme="majorBidi" w:hAnsiTheme="majorBidi" w:cstheme="majorBidi"/>
          <w:sz w:val="28"/>
          <w:szCs w:val="28"/>
          <w:lang w:val="en-US"/>
        </w:rPr>
        <w:t xml:space="preserve"> LMD 3</w:t>
      </w:r>
    </w:p>
    <w:p w14:paraId="1B8BDE4C" w14:textId="77777777" w:rsidR="00342D82" w:rsidRPr="00493484" w:rsidRDefault="00342D82" w:rsidP="00342D82">
      <w:pPr>
        <w:rPr>
          <w:rFonts w:asciiTheme="majorBidi" w:hAnsiTheme="majorBidi" w:cstheme="majorBidi"/>
          <w:sz w:val="28"/>
          <w:szCs w:val="28"/>
          <w:lang w:val="en-US"/>
        </w:rPr>
      </w:pPr>
      <w:r w:rsidRPr="00493484">
        <w:rPr>
          <w:rFonts w:asciiTheme="majorBidi" w:hAnsiTheme="majorBidi" w:cstheme="majorBidi"/>
          <w:b/>
          <w:bCs/>
          <w:sz w:val="28"/>
          <w:szCs w:val="28"/>
          <w:lang w:val="en-US"/>
        </w:rPr>
        <w:t>Module:</w:t>
      </w:r>
      <w:r w:rsidRPr="00493484">
        <w:rPr>
          <w:rFonts w:asciiTheme="majorBidi" w:hAnsiTheme="majorBidi" w:cstheme="majorBidi"/>
          <w:sz w:val="28"/>
          <w:szCs w:val="28"/>
          <w:lang w:val="en-US"/>
        </w:rPr>
        <w:t xml:space="preserve"> Linguistics</w:t>
      </w:r>
    </w:p>
    <w:p w14:paraId="5FDBD480" w14:textId="77777777" w:rsidR="00342D82" w:rsidRPr="00493484" w:rsidRDefault="00342D82" w:rsidP="00342D82">
      <w:pPr>
        <w:rPr>
          <w:rFonts w:asciiTheme="majorBidi" w:hAnsiTheme="majorBidi" w:cstheme="majorBidi"/>
          <w:b/>
          <w:bCs/>
          <w:sz w:val="28"/>
          <w:szCs w:val="28"/>
          <w:lang w:val="en-US"/>
        </w:rPr>
      </w:pPr>
      <w:r w:rsidRPr="00493484">
        <w:rPr>
          <w:rFonts w:asciiTheme="majorBidi" w:hAnsiTheme="majorBidi" w:cstheme="majorBidi"/>
          <w:b/>
          <w:bCs/>
          <w:sz w:val="28"/>
          <w:szCs w:val="28"/>
          <w:lang w:val="en-US"/>
        </w:rPr>
        <w:t xml:space="preserve">Course Title: </w:t>
      </w:r>
      <w:r w:rsidRPr="00C35131">
        <w:rPr>
          <w:rFonts w:asciiTheme="majorBidi" w:hAnsiTheme="majorBidi" w:cstheme="majorBidi"/>
          <w:sz w:val="28"/>
          <w:szCs w:val="28"/>
          <w:lang w:val="en-US"/>
        </w:rPr>
        <w:t>Types of Borrowing</w:t>
      </w:r>
    </w:p>
    <w:p w14:paraId="0F740E41" w14:textId="77777777" w:rsidR="00342D82" w:rsidRDefault="00342D82" w:rsidP="00342D82">
      <w:pPr>
        <w:spacing w:line="360" w:lineRule="auto"/>
        <w:ind w:firstLine="708"/>
        <w:jc w:val="both"/>
        <w:rPr>
          <w:rFonts w:asciiTheme="majorBidi" w:hAnsiTheme="majorBidi" w:cstheme="majorBidi"/>
          <w:sz w:val="26"/>
          <w:szCs w:val="26"/>
          <w:lang w:val="en-US"/>
        </w:rPr>
      </w:pPr>
    </w:p>
    <w:p w14:paraId="72538404" w14:textId="77777777" w:rsidR="00342D82" w:rsidRDefault="00342D82" w:rsidP="00342D82">
      <w:pPr>
        <w:spacing w:line="360" w:lineRule="auto"/>
        <w:ind w:firstLine="708"/>
        <w:jc w:val="both"/>
        <w:rPr>
          <w:rFonts w:asciiTheme="majorBidi" w:hAnsiTheme="majorBidi" w:cstheme="majorBidi"/>
          <w:sz w:val="26"/>
          <w:szCs w:val="26"/>
          <w:lang w:val="en-US"/>
        </w:rPr>
      </w:pPr>
      <w:r>
        <w:rPr>
          <w:rFonts w:asciiTheme="majorBidi" w:hAnsiTheme="majorBidi" w:cstheme="majorBidi"/>
          <w:sz w:val="26"/>
          <w:szCs w:val="26"/>
          <w:lang w:val="en-US"/>
        </w:rPr>
        <w:t>Borrowing is one of the most salient outcomes of language contact. It refers to the activity of lending a give linguistic item (generally lexical ones) but with the attention of accrediting these items to its linguistic origins. Hoffer (2005) advocates that “one of the most easily observable results of intercultural contact and communication is the set of loanwords that is imported into the vocabulary of each language involved” (p.53). Borrowing occurs for different reasons and therefore gives different types.</w:t>
      </w:r>
    </w:p>
    <w:p w14:paraId="08FC7455" w14:textId="77777777" w:rsidR="00342D82" w:rsidRPr="00D81395" w:rsidRDefault="00342D82" w:rsidP="00342D82">
      <w:pPr>
        <w:pStyle w:val="Paragraphedeliste"/>
        <w:numPr>
          <w:ilvl w:val="0"/>
          <w:numId w:val="1"/>
        </w:numPr>
        <w:spacing w:line="360" w:lineRule="auto"/>
        <w:jc w:val="both"/>
        <w:rPr>
          <w:rFonts w:asciiTheme="majorBidi" w:hAnsiTheme="majorBidi" w:cstheme="majorBidi"/>
          <w:sz w:val="26"/>
          <w:szCs w:val="26"/>
          <w:lang w:val="en-US"/>
        </w:rPr>
      </w:pPr>
      <w:r w:rsidRPr="00D81395">
        <w:rPr>
          <w:rFonts w:asciiTheme="majorBidi" w:hAnsiTheme="majorBidi" w:cstheme="majorBidi"/>
          <w:b/>
          <w:bCs/>
          <w:sz w:val="26"/>
          <w:szCs w:val="26"/>
          <w:lang w:val="en-US"/>
        </w:rPr>
        <w:t>Cultural borrowing:</w:t>
      </w:r>
      <w:r w:rsidRPr="00D81395">
        <w:rPr>
          <w:rFonts w:asciiTheme="majorBidi" w:hAnsiTheme="majorBidi" w:cstheme="majorBidi"/>
          <w:sz w:val="26"/>
          <w:szCs w:val="26"/>
          <w:lang w:val="en-US"/>
        </w:rPr>
        <w:t xml:space="preserve"> includes labels of objects which are not originally existing in the host community; the insertion of the ‘new’ object into the recipient culture requires bringing a new ‘lexical entry’ into its language (e.g. Pizza)</w:t>
      </w:r>
    </w:p>
    <w:p w14:paraId="5807A37D" w14:textId="77777777" w:rsidR="00342D82" w:rsidRPr="00D81395" w:rsidRDefault="00342D82" w:rsidP="00342D82">
      <w:pPr>
        <w:pStyle w:val="Paragraphedeliste"/>
        <w:numPr>
          <w:ilvl w:val="0"/>
          <w:numId w:val="1"/>
        </w:numPr>
        <w:spacing w:line="360" w:lineRule="auto"/>
        <w:jc w:val="both"/>
        <w:rPr>
          <w:rFonts w:asciiTheme="majorBidi" w:hAnsiTheme="majorBidi" w:cstheme="majorBidi"/>
          <w:sz w:val="26"/>
          <w:szCs w:val="26"/>
          <w:lang w:val="en-US"/>
        </w:rPr>
      </w:pPr>
      <w:r w:rsidRPr="00D81395">
        <w:rPr>
          <w:rFonts w:asciiTheme="majorBidi" w:hAnsiTheme="majorBidi" w:cstheme="majorBidi"/>
          <w:b/>
          <w:bCs/>
          <w:sz w:val="26"/>
          <w:szCs w:val="26"/>
          <w:lang w:val="en-US"/>
        </w:rPr>
        <w:t>Core borrowing:</w:t>
      </w:r>
      <w:r w:rsidRPr="00D81395">
        <w:rPr>
          <w:rFonts w:asciiTheme="majorBidi" w:hAnsiTheme="majorBidi" w:cstheme="majorBidi"/>
          <w:sz w:val="26"/>
          <w:szCs w:val="26"/>
          <w:lang w:val="en-US"/>
        </w:rPr>
        <w:t xml:space="preserve"> occurs when the recipient language already possesses the linguistic item but still brings its equivalent from the donor language as in media.</w:t>
      </w:r>
    </w:p>
    <w:p w14:paraId="3817DE9B" w14:textId="77777777" w:rsidR="00342D82" w:rsidRDefault="00342D82" w:rsidP="00342D82">
      <w:pPr>
        <w:spacing w:line="360" w:lineRule="auto"/>
        <w:ind w:firstLine="708"/>
        <w:jc w:val="both"/>
        <w:rPr>
          <w:rFonts w:asciiTheme="majorBidi" w:hAnsiTheme="majorBidi" w:cstheme="majorBidi"/>
          <w:sz w:val="26"/>
          <w:szCs w:val="26"/>
          <w:lang w:val="en-US"/>
        </w:rPr>
      </w:pPr>
      <w:r>
        <w:rPr>
          <w:rFonts w:asciiTheme="majorBidi" w:hAnsiTheme="majorBidi" w:cstheme="majorBidi"/>
          <w:sz w:val="26"/>
          <w:szCs w:val="26"/>
          <w:lang w:val="en-US"/>
        </w:rPr>
        <w:t xml:space="preserve">It is worth mentioning that despite the fact that borrowing and code switching rely on other languages in addition to the mother tongue (or the spoken language), it is necessary to show the distinction between the two phenomena. For this purpose, two main criteria need to be discussed: first, the degree of item integration in the host language and second, the degree of item use by monolingual speakers. If we check those two principles, we can make the distinction between what is an instance of borrowing or a code-switch utterance. The frequency of use has also been mentioned as a criterion of difference in the sense that if the lexical item appears very frequently (as part of the language) in the speech community’s performance, then it is considered as a loanword; however, if it appears only occasionally in the speech of certain individuals, then there is code switching. </w:t>
      </w:r>
    </w:p>
    <w:p w14:paraId="06C3C53E" w14:textId="77777777" w:rsidR="00342D82" w:rsidRPr="00302E43" w:rsidRDefault="00342D82" w:rsidP="00342D82">
      <w:pPr>
        <w:spacing w:line="360" w:lineRule="auto"/>
        <w:ind w:firstLine="708"/>
        <w:jc w:val="both"/>
        <w:rPr>
          <w:rFonts w:asciiTheme="majorBidi" w:hAnsiTheme="majorBidi" w:cstheme="majorBidi"/>
          <w:sz w:val="26"/>
          <w:szCs w:val="26"/>
          <w:lang w:val="en-US"/>
        </w:rPr>
      </w:pPr>
    </w:p>
    <w:p w14:paraId="62A10C54" w14:textId="77777777" w:rsidR="00804320" w:rsidRPr="00342D82" w:rsidRDefault="00804320">
      <w:pPr>
        <w:rPr>
          <w:lang w:val="en-US"/>
        </w:rPr>
      </w:pPr>
    </w:p>
    <w:sectPr w:rsidR="00804320" w:rsidRPr="00342D82">
      <w:head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28257" w14:textId="77777777" w:rsidR="00493484" w:rsidRPr="00226955" w:rsidRDefault="00342D82">
    <w:pPr>
      <w:pStyle w:val="En-tte"/>
      <w:rPr>
        <w:rFonts w:ascii="Lucida Calligraphy" w:hAnsi="Lucida Calligraphy"/>
        <w:lang w:val="en-US"/>
      </w:rPr>
    </w:pPr>
    <w:r>
      <w:rPr>
        <w:rFonts w:ascii="Lucida Calligraphy" w:hAnsi="Lucida Calligraphy"/>
        <w:noProof/>
      </w:rPr>
      <w:drawing>
        <wp:anchor distT="0" distB="0" distL="114300" distR="114300" simplePos="0" relativeHeight="251659264" behindDoc="1" locked="0" layoutInCell="1" allowOverlap="1" wp14:anchorId="22C11456" wp14:editId="6435E069">
          <wp:simplePos x="0" y="0"/>
          <wp:positionH relativeFrom="column">
            <wp:posOffset>5491480</wp:posOffset>
          </wp:positionH>
          <wp:positionV relativeFrom="paragraph">
            <wp:posOffset>-316230</wp:posOffset>
          </wp:positionV>
          <wp:extent cx="590550" cy="8096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590550" cy="809625"/>
                  </a:xfrm>
                  <a:prstGeom prst="rect">
                    <a:avLst/>
                  </a:prstGeom>
                </pic:spPr>
              </pic:pic>
            </a:graphicData>
          </a:graphic>
          <wp14:sizeRelH relativeFrom="page">
            <wp14:pctWidth>0</wp14:pctWidth>
          </wp14:sizeRelH>
          <wp14:sizeRelV relativeFrom="page">
            <wp14:pctHeight>0</wp14:pctHeight>
          </wp14:sizeRelV>
        </wp:anchor>
      </w:drawing>
    </w:r>
    <w:r w:rsidRPr="00226955">
      <w:rPr>
        <w:rFonts w:ascii="Lucida Calligraphy" w:hAnsi="Lucida Calligraphy"/>
        <w:lang w:val="en-US"/>
      </w:rPr>
      <w:t>University of Tlemcen</w:t>
    </w:r>
  </w:p>
  <w:p w14:paraId="06FEFA88" w14:textId="77777777" w:rsidR="00493484" w:rsidRPr="00226955" w:rsidRDefault="00342D82">
    <w:pPr>
      <w:pStyle w:val="En-tte"/>
      <w:rPr>
        <w:rFonts w:ascii="Lucida Calligraphy" w:hAnsi="Lucida Calligraphy"/>
        <w:lang w:val="en-US"/>
      </w:rPr>
    </w:pPr>
    <w:r w:rsidRPr="00226955">
      <w:rPr>
        <w:rFonts w:ascii="Lucida Calligraphy" w:hAnsi="Lucida Calligraphy"/>
        <w:lang w:val="en-US"/>
      </w:rPr>
      <w:t xml:space="preserve">Department of English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384EDE"/>
    <w:multiLevelType w:val="hybridMultilevel"/>
    <w:tmpl w:val="6ADE55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8A"/>
    <w:rsid w:val="00342D82"/>
    <w:rsid w:val="0062078A"/>
    <w:rsid w:val="008043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1E46"/>
  <w15:chartTrackingRefBased/>
  <w15:docId w15:val="{64A836FE-9EDB-4758-8F7F-5FBB03BE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D8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42D82"/>
    <w:pPr>
      <w:tabs>
        <w:tab w:val="center" w:pos="4536"/>
        <w:tab w:val="right" w:pos="9072"/>
      </w:tabs>
      <w:spacing w:after="0" w:line="240" w:lineRule="auto"/>
    </w:pPr>
  </w:style>
  <w:style w:type="character" w:customStyle="1" w:styleId="En-tteCar">
    <w:name w:val="En-tête Car"/>
    <w:basedOn w:val="Policepardfaut"/>
    <w:link w:val="En-tte"/>
    <w:uiPriority w:val="99"/>
    <w:rsid w:val="00342D82"/>
  </w:style>
  <w:style w:type="paragraph" w:styleId="Paragraphedeliste">
    <w:name w:val="List Paragraph"/>
    <w:basedOn w:val="Normal"/>
    <w:uiPriority w:val="34"/>
    <w:qFormat/>
    <w:rsid w:val="00342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1611</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2021-03-06T22:37:00Z</dcterms:created>
  <dcterms:modified xsi:type="dcterms:W3CDTF">2021-03-06T22:37:00Z</dcterms:modified>
</cp:coreProperties>
</file>