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5310"/>
        <w:gridCol w:w="3868"/>
      </w:tblGrid>
      <w:tr w:rsidR="00EF0C6C" w:rsidRPr="00EF0C6C" w:rsidTr="00EF0C6C">
        <w:trPr>
          <w:trHeight w:val="219"/>
        </w:trPr>
        <w:tc>
          <w:tcPr>
            <w:tcW w:w="9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>Groupe </w:t>
            </w:r>
            <w:r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13</w:t>
            </w: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 xml:space="preserve">Le Responsable du groupe : Dr. DERRAR </w:t>
            </w:r>
            <w:proofErr w:type="spellStart"/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>Abdelhadi</w:t>
            </w:r>
            <w:proofErr w:type="spellEnd"/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د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.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درار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عبد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الهادي</w:t>
            </w: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 xml:space="preserve">Université </w:t>
            </w:r>
            <w:proofErr w:type="spellStart"/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>Aboubekr</w:t>
            </w:r>
            <w:proofErr w:type="spellEnd"/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 xml:space="preserve"> </w:t>
            </w:r>
            <w:proofErr w:type="spellStart"/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>Belkaid</w:t>
            </w:r>
            <w:proofErr w:type="spellEnd"/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 xml:space="preserve"> Tlemcen</w:t>
            </w: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جامعة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أبو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بكر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proofErr w:type="spellStart"/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بلقايد</w:t>
            </w:r>
            <w:proofErr w:type="spellEnd"/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–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تلمسان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>-</w:t>
            </w: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>Département de droit  et sciences politiques</w:t>
            </w: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green"/>
                <w:lang w:val="fr-CA" w:eastAsia="fr-CA"/>
              </w:rPr>
            </w:pPr>
            <w:proofErr w:type="gramStart"/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كلية</w:t>
            </w:r>
            <w:proofErr w:type="gramEnd"/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الحقوق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و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العلوم</w:t>
            </w: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val="fr-CA" w:eastAsia="fr-CA"/>
              </w:rPr>
              <w:t xml:space="preserve"> </w:t>
            </w:r>
            <w:r w:rsidRPr="00EF0C6C">
              <w:rPr>
                <w:rFonts w:ascii="Calibri" w:eastAsia="Times New Roman" w:hAnsi="Calibri" w:cs="Times New Roman" w:hint="cs"/>
                <w:b/>
                <w:bCs/>
                <w:sz w:val="20"/>
                <w:szCs w:val="20"/>
                <w:rtl/>
                <w:lang w:val="fr-CA" w:eastAsia="fr-CA"/>
              </w:rPr>
              <w:t>السياسية</w:t>
            </w: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</w:pPr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highlight w:val="green"/>
                <w:lang w:val="fr-CA" w:eastAsia="fr-CA"/>
              </w:rPr>
              <w:t xml:space="preserve">Les membres ayant participé à l’élaboration de la grille 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 xml:space="preserve">BOUZIANI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>Houcine</w:t>
            </w:r>
            <w:proofErr w:type="spellEnd"/>
            <w:r w:rsidRPr="00EF0C6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fr-CA" w:eastAsia="fr-CA"/>
              </w:rPr>
              <w:t xml:space="preserve"> </w:t>
            </w:r>
          </w:p>
          <w:p w:rsidR="00EF0C6C" w:rsidRPr="00EF0C6C" w:rsidRDefault="00EF0C6C" w:rsidP="00EF0C6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CA" w:eastAsia="fr-CA"/>
              </w:rPr>
            </w:pPr>
          </w:p>
        </w:tc>
      </w:tr>
      <w:tr w:rsidR="00EF0C6C" w:rsidRPr="00EF0C6C" w:rsidTr="00EF0C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gridAfter w:val="1"/>
          <w:wBefore w:w="108" w:type="dxa"/>
          <w:wAfter w:w="3868" w:type="dxa"/>
        </w:trPr>
        <w:tc>
          <w:tcPr>
            <w:tcW w:w="5310" w:type="dxa"/>
            <w:shd w:val="clear" w:color="auto" w:fill="FFFFFF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</w:tr>
    </w:tbl>
    <w:p w:rsidR="00EF0C6C" w:rsidRPr="00EF0C6C" w:rsidRDefault="00EF0C6C" w:rsidP="00EF0C6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eastAsia="fr-FR"/>
        </w:rPr>
      </w:pPr>
      <w:r w:rsidRPr="00EF0C6C">
        <w:rPr>
          <w:rFonts w:ascii="Arial" w:eastAsia="Times New Roman" w:hAnsi="Arial" w:cs="Arial" w:hint="cs"/>
          <w:color w:val="333333"/>
          <w:rtl/>
          <w:lang w:eastAsia="fr-FR"/>
        </w:rPr>
        <w:t> 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7"/>
        <w:gridCol w:w="4377"/>
        <w:gridCol w:w="193"/>
        <w:gridCol w:w="937"/>
        <w:gridCol w:w="192"/>
        <w:gridCol w:w="912"/>
        <w:gridCol w:w="217"/>
        <w:gridCol w:w="883"/>
        <w:gridCol w:w="246"/>
        <w:gridCol w:w="883"/>
        <w:gridCol w:w="246"/>
        <w:gridCol w:w="1001"/>
        <w:gridCol w:w="98"/>
        <w:gridCol w:w="77"/>
      </w:tblGrid>
      <w:tr w:rsidR="00EF0C6C" w:rsidRPr="00EF0C6C" w:rsidTr="00EF0C6C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 </w:t>
            </w:r>
          </w:p>
        </w:tc>
        <w:tc>
          <w:tcPr>
            <w:tcW w:w="4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Critères d’analyse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معايير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 xml:space="preserve"> التحليل</w:t>
            </w:r>
          </w:p>
        </w:tc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Excellant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ممتاز</w:t>
            </w:r>
          </w:p>
        </w:tc>
        <w:tc>
          <w:tcPr>
            <w:tcW w:w="1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Très bien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جيد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lang w:eastAsia="fr-FR" w:bidi="ar-DZ"/>
              </w:rPr>
              <w:t> </w:t>
            </w: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جدا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Bien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rtl/>
                <w:lang w:eastAsia="fr-FR"/>
              </w:rPr>
              <w:t> </w:t>
            </w: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حسن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Passable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مقبول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Insatisfaisant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  </w:t>
            </w: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غير مقبول</w:t>
            </w:r>
          </w:p>
        </w:tc>
      </w:tr>
      <w:tr w:rsidR="00EF0C6C" w:rsidRPr="00EF0C6C" w:rsidTr="00EF0C6C">
        <w:tc>
          <w:tcPr>
            <w:tcW w:w="1059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Aspect organisationnel du cours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الجانب التنظيمي للمحاضرة</w:t>
            </w:r>
          </w:p>
        </w:tc>
        <w:tc>
          <w:tcPr>
            <w:tcW w:w="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01</w:t>
            </w:r>
          </w:p>
        </w:tc>
        <w:tc>
          <w:tcPr>
            <w:tcW w:w="4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Clarté de la présentation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وضوح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العرض و التقديم</w:t>
            </w:r>
          </w:p>
        </w:tc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  <w:t>*</w:t>
            </w:r>
          </w:p>
        </w:tc>
        <w:tc>
          <w:tcPr>
            <w:tcW w:w="1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</w:pP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02</w:t>
            </w:r>
          </w:p>
        </w:tc>
        <w:tc>
          <w:tcPr>
            <w:tcW w:w="4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Présence de tous les éléments requis, y compris la partie descriptive du cours et les coordonnées du professeur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وجود جميع العناصر المطلوبة بما في ذلك الجزء الوصفي من المحاضرة وبيانات الاتصال بالأستاذ</w:t>
            </w:r>
          </w:p>
        </w:tc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</w:pPr>
          </w:p>
        </w:tc>
        <w:tc>
          <w:tcPr>
            <w:tcW w:w="1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  <w:t>*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03</w:t>
            </w:r>
          </w:p>
        </w:tc>
        <w:tc>
          <w:tcPr>
            <w:tcW w:w="4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Cohérence entre les objectifs, le contenu, les méthodes pédagogiques, les moyens d'évaluation et entre les trois systèmes d’entrée, d’apprentissage et de sortie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الترابط بين</w:t>
            </w:r>
            <w:r w:rsidRPr="00EF0C6C">
              <w:rPr>
                <w:rFonts w:ascii="Arial" w:eastAsia="Times New Roman" w:hAnsi="Arial" w:cs="Arial" w:hint="cs"/>
                <w:color w:val="333333"/>
                <w:rtl/>
                <w:lang w:eastAsia="fr-FR"/>
              </w:rPr>
              <w:t xml:space="preserve"> الأهداف والمحتوى وطرق التدريس ووسائل التقييم وبين الأنظمة الثلاثة - </w:t>
            </w:r>
            <w:proofErr w:type="gramStart"/>
            <w:r w:rsidRPr="00EF0C6C">
              <w:rPr>
                <w:rFonts w:ascii="Arial" w:eastAsia="Times New Roman" w:hAnsi="Arial" w:cs="Arial" w:hint="cs"/>
                <w:color w:val="333333"/>
                <w:rtl/>
                <w:lang w:eastAsia="fr-FR"/>
              </w:rPr>
              <w:t>الدخول ،</w:t>
            </w:r>
            <w:proofErr w:type="gramEnd"/>
            <w:r w:rsidRPr="00EF0C6C">
              <w:rPr>
                <w:rFonts w:ascii="Arial" w:eastAsia="Times New Roman" w:hAnsi="Arial" w:cs="Arial" w:hint="cs"/>
                <w:color w:val="333333"/>
                <w:rtl/>
                <w:lang w:eastAsia="fr-FR"/>
              </w:rPr>
              <w:t xml:space="preserve"> التعلم ، الخروج-</w:t>
            </w:r>
          </w:p>
        </w:tc>
        <w:tc>
          <w:tcPr>
            <w:tcW w:w="1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</w:pPr>
          </w:p>
        </w:tc>
        <w:tc>
          <w:tcPr>
            <w:tcW w:w="1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72"/>
                <w:szCs w:val="72"/>
                <w:lang w:eastAsia="fr-FR"/>
              </w:rPr>
              <w:t>*</w:t>
            </w:r>
          </w:p>
        </w:tc>
        <w:tc>
          <w:tcPr>
            <w:tcW w:w="1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4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04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Adaptation de la langue utilisée au public ciblé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ملائمة اللغة المستخدمة للجمهور المستهدف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229" w:rsidRPr="00F67229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  <w:t>*</w:t>
            </w:r>
          </w:p>
          <w:p w:rsidR="00BA5926" w:rsidRPr="00F67229" w:rsidRDefault="00BA5926" w:rsidP="00F67229">
            <w:pPr>
              <w:jc w:val="center"/>
              <w:rPr>
                <w:rFonts w:ascii="Arial" w:eastAsia="Times New Roman" w:hAnsi="Arial" w:cs="Arial"/>
                <w:sz w:val="52"/>
                <w:szCs w:val="52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05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Calendrier des sessions du cours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"/>
              </w:rPr>
              <w:t>تحديد رزنامة دورات الدروس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  <w:t>*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06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Présentation détaillée du cours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عرض تفصيلي للمحاضرة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07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Facilité de la localisation des contenus du cours sur le site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سهولة تحديد موقع محتوى الدورة على الموقع الإلكتروني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2"/>
                <w:szCs w:val="52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10693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7229" w:rsidRDefault="00F67229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  <w:p w:rsidR="00F67229" w:rsidRDefault="00F67229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  <w:p w:rsidR="00F67229" w:rsidRDefault="00F67229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  <w:p w:rsidR="00F67229" w:rsidRDefault="00F67229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</w:p>
          <w:p w:rsid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Le système d’entrée</w:t>
            </w:r>
          </w:p>
          <w:p w:rsidR="00F67229" w:rsidRPr="00EF0C6C" w:rsidRDefault="00F67229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نــــــــظام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 xml:space="preserve"> الدخول</w:t>
            </w:r>
          </w:p>
        </w:tc>
        <w:tc>
          <w:tcPr>
            <w:tcW w:w="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lastRenderedPageBreak/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lastRenderedPageBreak/>
              <w:t>01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Formulation précise des objectifs en termes de résultats attendus  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صياغة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دقيقة للأهداف من حيث النتائج المتوقعة و المنتظرة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02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Objectifs pédagogiques principaux, intermédiaires et spécifiques (disponibles, clairs et mesurables)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أهداف تعليمية-بيداغوجية- رئيسية ومتوسطة ومحددة (موجودة وواضحة وقابلة للقياس)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03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Objectifs pédagogiques : savoirs, savoir-faire et savoirs-être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الأهداف التعليمية: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المعرفة ،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معرفة الفعل ، ومعرفة الوجود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04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Concrétisation des aspects pédagogique et didactique tracés dans les objectifs du cours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ضمان وظيفتي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التوجيه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والتعلم من خلال أهداف المقرر في المحاضرة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05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Prérequis indispensables au cours (indiqués ou non, comparaison entre les objectifs).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المتطلبات الأساسية للدرس (المشار إليها أو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لا ،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قليل مقارنة بالأهداف).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06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Evaluation diagnostique (réorientation en cas d’échec)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اختبار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المتطلبات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الأساسية (موجودة، الوضوح وإعادة التوجيه في حالة الفشل)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07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Adéquation du pré-test dans la prise de décision pour la participation au cours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ملاءمة الاختبار التمهيدي في اتخاذ القرار للمشاركة في الدرس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08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Utilisation de verbes d’action mesurables (Bloom)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استخدام أفعال العمل القابلة للقياس (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بلوم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)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56"/>
                <w:szCs w:val="56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10693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Le système d’apprentissage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نظــــــــــــــــــام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 xml:space="preserve"> التعليـــــــــم</w:t>
            </w:r>
          </w:p>
        </w:tc>
        <w:tc>
          <w:tcPr>
            <w:tcW w:w="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01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Respect des modalités d'apprentissage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احترام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طرق التعلم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02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Répartition du contenu du cours en différentes unités d’apprentissage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تقسيم المحاضرة/الدرس الى أجزاء وصياغته في وحدات مختلفة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03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 xml:space="preserve">Utilisation d’une carte conceptuelle pour </w:t>
            </w: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lastRenderedPageBreak/>
              <w:t>présenter les unités d’apprentissage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استخدام خريطة المفاهيم لعرض وحدات التعلم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lastRenderedPageBreak/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  <w:r w:rsidR="00F67229">
              <w:rPr>
                <w:rFonts w:ascii="Arial" w:eastAsia="Times New Roman" w:hAnsi="Arial" w:cs="Arial"/>
                <w:color w:val="333333"/>
                <w:lang w:eastAsia="fr-FR"/>
              </w:rPr>
              <w:t>*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lastRenderedPageBreak/>
              <w:t>04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Mise en place d’images animées (claires et en congruence avec le contenu)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المخططات والصور المتحركة (موجودة ، واضحة وتتعلق بالمحتوى).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05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Diversification des activités d’apprentissage sous forme d’animations et leur adaptation à chaque unité d’apprentissage (QCM,  jeux, quizz, etc.)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تنويع الأنشطة التعليمية وتكييفها مع كل وحدة تعليمية (أسئلة الاختيار من متعدد ، والألعاب ، والاختبارات ، وما إلى ذلك)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  <w:t>*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06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Mise en place d’exercices et d’exemples concernant la formation générale et le contenu ainsi que leur contribution au système d’apprentissage   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وضع التمارين والأمثلة فيما يتعلق بالتدريب العام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والمحتوى ،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ومساهمتها في نظام التعلم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07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Proposition d'une correction pour les exercices  (oui ou non ? Si oui, avec ou sans explications ?)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وجود تصحيح للتمارين (نعم أو لا إذا كانت الإجابة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بنعم ،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مع التفسيرات؟)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08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Enrichissement du cours par différentes ressources pédagogiques : URL, vidéos, fichiers, PDF, etc. 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رفع وإثراء الدرس بمصادر تعليمية مختلفة: روابط الإنترنت ، مقاطع الفيديو ، الملفات ، ملفات </w:t>
            </w: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PDF</w:t>
            </w:r>
            <w:r w:rsidRPr="00EF0C6C">
              <w:rPr>
                <w:rFonts w:ascii="Arial" w:eastAsia="Times New Roman" w:hAnsi="Arial" w:cs="Arial"/>
                <w:b/>
                <w:bCs/>
                <w:color w:val="333333"/>
                <w:rtl/>
                <w:lang w:eastAsia="fr-FR"/>
              </w:rPr>
              <w:t> </w:t>
            </w: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، إلخ.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10693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Le système de sortie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نظـــــــــــــــام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 xml:space="preserve"> الخروج</w:t>
            </w:r>
          </w:p>
        </w:tc>
        <w:tc>
          <w:tcPr>
            <w:tcW w:w="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01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Etablissement d’une évaluation à l'issue de chaque unité d’apprentissage permettant de tester les connaissances de l'étudiant avant de se lancer dans la prochaine activité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وجود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تقييم في نهاية كل وحدة تعليمية التي تسمح باختبار معرفة الطالب قبل الشروع في النشاط الموالي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02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Critères d’évaluation (clairs et disponibles)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معايير التقييم (الوجود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والوضوح</w:t>
            </w:r>
            <w:proofErr w:type="gramEnd"/>
            <w:r w:rsidRPr="00EF0C6C">
              <w:rPr>
                <w:rFonts w:ascii="Arial" w:eastAsia="Times New Roman" w:hAnsi="Arial" w:cs="Arial" w:hint="cs"/>
                <w:color w:val="333333"/>
                <w:rtl/>
                <w:lang w:eastAsia="fr-FR"/>
              </w:rPr>
              <w:t>)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rtl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03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Présentation des moyens de remédiation  en cas d’échec dans l’évaluation et des systèmes d’orientation vers une autre unité d’apprentissage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عرض الحلول و البدائل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في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حال عدم وصول الطالب إلى هدف الدرس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8"/>
                <w:szCs w:val="48"/>
                <w:lang w:eastAsia="fr-FR"/>
              </w:rPr>
              <w:t>*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1077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lastRenderedPageBreak/>
              <w:t>Bibliographie</w:t>
            </w:r>
          </w:p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 xml:space="preserve">قائمة المصادر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والمراجع</w:t>
            </w:r>
            <w:proofErr w:type="gramEnd"/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01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Réalisation d’une bibliographie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اقتراح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بالنسبة لقائمة المراجع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02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Nombre suffisant de références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عدد </w:t>
            </w:r>
            <w:proofErr w:type="gram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كاف</w:t>
            </w:r>
            <w:proofErr w:type="gram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من المراجع</w:t>
            </w: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.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03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Références bibliographiques en vigueur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قائمة</w:t>
            </w: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 المراجع المعتمدة </w:t>
            </w:r>
            <w:proofErr w:type="spell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المحينة</w:t>
            </w:r>
            <w:proofErr w:type="spellEnd"/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.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b/>
                <w:bCs/>
                <w:color w:val="333333"/>
                <w:lang w:eastAsia="fr-FR"/>
              </w:rPr>
              <w:t>04</w:t>
            </w: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Respect des normes usuelles de rédaction </w:t>
            </w:r>
          </w:p>
          <w:p w:rsidR="00EF0C6C" w:rsidRPr="00EF0C6C" w:rsidRDefault="00EF0C6C" w:rsidP="00EF0C6C">
            <w:pPr>
              <w:bidi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 w:hint="cs"/>
                <w:color w:val="333333"/>
                <w:lang w:eastAsia="fr-FR"/>
              </w:rPr>
              <w:t> </w:t>
            </w:r>
            <w:proofErr w:type="spellStart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>إحترام</w:t>
            </w:r>
            <w:proofErr w:type="spellEnd"/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/>
              </w:rPr>
              <w:t xml:space="preserve"> معايير الصياغة </w:t>
            </w:r>
            <w:r w:rsidRPr="00EF0C6C">
              <w:rPr>
                <w:rFonts w:ascii="Arial" w:eastAsia="Times New Roman" w:hAnsi="Arial" w:cs="Arial" w:hint="cs"/>
                <w:b/>
                <w:bCs/>
                <w:color w:val="333333"/>
                <w:rtl/>
                <w:lang w:eastAsia="fr-FR" w:bidi="ar-DZ"/>
              </w:rPr>
              <w:t>المعتمدة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F67229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  <w:r w:rsidRPr="00F67229"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  <w:t>*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F672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44"/>
                <w:szCs w:val="44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0C6C" w:rsidRPr="00EF0C6C" w:rsidRDefault="00EF0C6C" w:rsidP="00EF0C6C">
            <w:pPr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EF0C6C">
              <w:rPr>
                <w:rFonts w:ascii="Arial" w:eastAsia="Times New Roman" w:hAnsi="Arial" w:cs="Arial"/>
                <w:color w:val="333333"/>
                <w:lang w:eastAsia="fr-FR"/>
              </w:rPr>
              <w:t> </w:t>
            </w:r>
          </w:p>
        </w:tc>
      </w:tr>
      <w:tr w:rsidR="00EF0C6C" w:rsidRPr="00EF0C6C" w:rsidTr="00EF0C6C">
        <w:tc>
          <w:tcPr>
            <w:tcW w:w="5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4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11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  <w:tc>
          <w:tcPr>
            <w:tcW w:w="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F0C6C" w:rsidRPr="00EF0C6C" w:rsidRDefault="00EF0C6C" w:rsidP="00EF0C6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</w:p>
        </w:tc>
      </w:tr>
    </w:tbl>
    <w:p w:rsidR="00EF0C6C" w:rsidRPr="00EF0C6C" w:rsidRDefault="00EF0C6C" w:rsidP="00F67229">
      <w:pPr>
        <w:shd w:val="clear" w:color="auto" w:fill="FFFFFF"/>
        <w:spacing w:after="100" w:afterAutospacing="1" w:line="240" w:lineRule="auto"/>
        <w:rPr>
          <w:rFonts w:ascii="Arial" w:eastAsia="Times New Roman" w:hAnsi="Arial" w:cs="Arial" w:hint="cs"/>
          <w:color w:val="333333"/>
          <w:rtl/>
          <w:lang w:eastAsia="fr-FR" w:bidi="ar-DZ"/>
        </w:rPr>
      </w:pPr>
      <w:r w:rsidRPr="00EF0C6C">
        <w:rPr>
          <w:rFonts w:ascii="Arial" w:eastAsia="Times New Roman" w:hAnsi="Arial" w:cs="Arial" w:hint="cs"/>
          <w:color w:val="333333"/>
          <w:rtl/>
          <w:lang w:eastAsia="fr-FR" w:bidi="ar-DZ"/>
        </w:rPr>
        <w:t> </w:t>
      </w:r>
      <w:bookmarkStart w:id="0" w:name="_GoBack"/>
      <w:bookmarkEnd w:id="0"/>
    </w:p>
    <w:p w:rsidR="00EF0C6C" w:rsidRDefault="00EF0C6C"/>
    <w:sectPr w:rsidR="00EF0C6C" w:rsidSect="00F672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6C"/>
    <w:rsid w:val="002A565E"/>
    <w:rsid w:val="009023F5"/>
    <w:rsid w:val="00B91C63"/>
    <w:rsid w:val="00BA5926"/>
    <w:rsid w:val="00EF0C6C"/>
    <w:rsid w:val="00F6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4B88-13D0-4311-8460-97CD95C1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786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2021-04-28T18:47:00Z</cp:lastPrinted>
  <dcterms:created xsi:type="dcterms:W3CDTF">2021-04-28T18:26:00Z</dcterms:created>
  <dcterms:modified xsi:type="dcterms:W3CDTF">2021-04-28T23:12:00Z</dcterms:modified>
</cp:coreProperties>
</file>