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97" w:rsidRDefault="00514DA3" w:rsidP="00514DA3">
      <w:pPr>
        <w:jc w:val="right"/>
        <w:rPr>
          <w:rFonts w:asciiTheme="majorBidi" w:hAnsiTheme="majorBidi" w:cs="Traditional Arabic" w:hint="cs"/>
          <w:b/>
          <w:bCs/>
          <w:sz w:val="40"/>
          <w:szCs w:val="40"/>
          <w:rtl/>
          <w:lang w:bidi="ar-DZ"/>
        </w:rPr>
      </w:pPr>
      <w:r w:rsidRPr="00CA7414">
        <w:rPr>
          <w:rFonts w:asciiTheme="majorBidi" w:hAnsiTheme="majorBidi" w:cs="Traditional Arabic" w:hint="cs"/>
          <w:b/>
          <w:bCs/>
          <w:sz w:val="40"/>
          <w:szCs w:val="40"/>
          <w:highlight w:val="yellow"/>
          <w:rtl/>
          <w:lang w:bidi="ar-DZ"/>
        </w:rPr>
        <w:t>المحاضرة الثانية : أسباب نشأة عام الكلام :</w:t>
      </w:r>
    </w:p>
    <w:p w:rsidR="00514DA3" w:rsidRPr="00CA7414" w:rsidRDefault="00514DA3" w:rsidP="00514DA3">
      <w:pPr>
        <w:tabs>
          <w:tab w:val="left" w:pos="2937"/>
        </w:tabs>
        <w:jc w:val="right"/>
        <w:rPr>
          <w:rFonts w:asciiTheme="majorBidi" w:hAnsiTheme="majorBidi" w:cs="Traditional Arabic"/>
          <w:b/>
          <w:bCs/>
          <w:sz w:val="40"/>
          <w:szCs w:val="40"/>
          <w:rtl/>
          <w:lang w:bidi="ar-DZ"/>
        </w:rPr>
      </w:pPr>
      <w:r w:rsidRPr="00CA7414">
        <w:rPr>
          <w:rFonts w:asciiTheme="majorBidi" w:hAnsiTheme="majorBidi" w:cs="Traditional Arabic" w:hint="cs"/>
          <w:b/>
          <w:bCs/>
          <w:sz w:val="40"/>
          <w:szCs w:val="40"/>
          <w:highlight w:val="yellow"/>
          <w:rtl/>
          <w:lang w:bidi="ar-DZ"/>
        </w:rPr>
        <w:t>المحاضرة الثانية : أسباب نشأة عام الكلام :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علم الكلام هو علم " الدّفاع عن العقائد الإيمانيّة بالأدلّة العقليّة " ودفع الشّبه والشّكوك عن الدّين الإسلاميّ في ناحية عقائده وأصوله ، وذلك عن طريق الحجاج والنّظر العقليّ ومنهج الجدل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وهو من العلوم الإسلاميّة الأصيلة ، فكما أبدع المسلمون الفقه وأصول الفقه وعلم الحديث والبلاعة وغيرها وكانت علوما إسلاميّة أصيلة كذلك أنتجوا علوم الكلام . وعلم الكلام لم ينشأ منذ القدم بل حديث النشأة كغيره من العلوم الإسلاميّة الأخرى وكانت له أسباب ساهمت في نشأته تراوحت بين الدّاخليّة والخارجيّة .</w:t>
      </w:r>
    </w:p>
    <w:p w:rsidR="00514DA3" w:rsidRPr="00296EEA" w:rsidRDefault="00514DA3" w:rsidP="00514DA3">
      <w:pPr>
        <w:tabs>
          <w:tab w:val="left" w:pos="2937"/>
        </w:tabs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highlight w:val="yellow"/>
          <w:rtl/>
          <w:lang w:bidi="ar-DZ"/>
        </w:rPr>
        <w:t>أ - الأسباب الخارجية :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أمّا الخارجيّة فمن خارج البلاد الإسلاميّة ؛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أي ما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دخل إ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لى المسلمين من ثقافات وديانات مختلفة غربيّة وشرقيّة كانت كدافع استدعى إلى ضرورة الرّدّ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وضرورة الدفاع عن العقيدة الإسلامية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. 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لقد كان هذا الاختلاط بين المسلمين وغيرهم والّذي اشتدّ في عهد الفتوحات الإسلامية سببا خارجيّا مباشرا و أساسيا لنشأة علم الكلام ، فالمسلمين اختلطوا بشعوب كثيرة لها ديانات مختلفة ، فلم يكن اليونان هم الشّعب الوحيد الّذي اختلط به المسلمون ، بل شعوب أخرى تراوحت دياناتهم بين اليهوديّة والمسيحيّة والصّابئة والوثنيّة والم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ا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نويّة وغيرها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أمّا تعرف العرب </w:t>
      </w:r>
      <w:hyperlink r:id="rId6" w:history="1">
        <w:r w:rsidRPr="00296EEA">
          <w:rPr>
            <w:rFonts w:asciiTheme="majorBidi" w:hAnsiTheme="majorBidi" w:cs="Traditional Arabic" w:hint="cs"/>
            <w:sz w:val="36"/>
            <w:szCs w:val="36"/>
            <w:rtl/>
            <w:lang w:bidi="ar-DZ"/>
          </w:rPr>
          <w:t>بغيرهم</w:t>
        </w:r>
      </w:hyperlink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واختلاطهم بهم كان قديما ، يمكن أن نعود بتاريخ العرب حتّى مرحلة الجاهليّة من خلال التّجارة والحملات التّبشيريّة ، لكنّه اختلاط لم يساهم في نشأة علم العقائد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لأنّ العرب في ذلك الوقت لم تكن لهم رسالة سماويّة منزّلة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ومنه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لم يؤثّر ذلك الاختلاط على العرب .   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أمّا وإن كان للعرب ديانة سماويّة توحّدهم فإنّ أصحاب الدّيانات الأخرى همّوا إلى تنصير دياناتهم ورفعها والدّفاع عنها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، وكان سبيلهم في ذلك بث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الشّكوك و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إثارة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الشبيهات حول القرآن الكريم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وعندما شعر المسلمون بخطورة الوضع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وخافوا على دينهم من الشّبه والشّكوك  الّتي كانت تثار حوله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أوجبوا على أنفسهم ضرورة الرّدّ والدّفاع فنشأ علم الكلام . 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إلّا أنّ هذا العلم لم ينشأ منذ البداية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دفعة واحدة 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بل مرّ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بعدة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بمراحل وأدوار حتّى أصبح علما متكاملا له أبوابه وفصوله ومبادئه ، إذ لا يمكن التّحدّث عن علم الك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لام كعلم إلا مع نهاية القرن الثاني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للهجرة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وبالتّحديد مع المعتزلة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وهي المرحلة الّتي بلغ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فيها ذروته وصولا إلى القرن الرابع للهجرة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مع الأشاعرة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وهذا الزّمن هو زمن تدوين علم الكلام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ومنه فإ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نّ اختلاط المسلمين بغيرهم ، كما أشرنا هو السّبب الخارجيّ المباشر ، انطلاقا من أنّ أولئك المشكّكين في الدّين والمثيرين للشّبهات كانوا قد تعرّفوا على الفلسفة اليونانيّة وعلى المنطق الأرسطيّ ، وبذلك كانوا قد أتقنوا طريقة الجدل والبرهان والحجاج في المسائل اللّاهوتيّة . هذا إضافة إلى أنهم كانت لهم ديانات قديمة ، كل هذه الإمكانيّات وإن صحّ تسميتها المؤهّلات أعطتهم القدرة على إتقان الجدل في اللّاهوتيّات وفي مسائل أصول العقائد ،كقولهم في التّوحيد والصّفات والقدر والقضاء وغيرها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ومن هنا وجب كذلك أن نشير إلى تاريخ هذا الاختلاط ال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ذي كان سببا في نشأة علم الكلام ، وذلك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بالرّجوع إلى مراحل بناء الدّولة الإسلاميّة وبالتّحديد إلى المرحلة الّتي بدأت تظهر فيها الفتن والبدع باعتبار أنّ هذا العلم الّذي نتكلّم عنه نشأ ردّا على تلك البدع ودفعا ل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لشّبه وإطفاء للفتن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حتّى لا يضلّ عامّة النّاس من المسلمين بين مشبّه ومجسّم وموحّد وغيرهم . </w:t>
      </w:r>
    </w:p>
    <w:p w:rsidR="00514DA3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ربّما اشتدّ الاختلاط في زمن الخليفة عمر بن الخطّاب ، هذا الأخير الّذي حقّق فتوحات كبيرة نحو الشّرق والغرب ، ومنه فبوادر الجدل في العقائد كانت في زمن الصّحابة رضوان الله عليهم .</w:t>
      </w:r>
    </w:p>
    <w:p w:rsidR="00514DA3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</w:p>
    <w:p w:rsidR="00514DA3" w:rsidRPr="002A0795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2A0795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ب - الأسباب الدّاخليّة لنشأة عم الكلام:</w:t>
      </w:r>
      <w:r w:rsidRPr="002A0795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وهي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أسباب نشأة علم الكلام من داخل البلاد الإسلاميّة ، وعلى رأسها اختلاف المسلمين فيما بينهم ،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ولا نقصد هنا مسألة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الخلافة فقط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لأنّ هذه الأخيرة هي واحدة من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بين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الاختلافات الأساسيّة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وهي سبب مباشر لنشأة الفرق الكلاميّة ، وهي كذلك ذات طابع سياسيّ فلا يمكن لما هو سياسيّ أن ينتج علما ذو طابع اعتقاديّ ، وإنّما اختلف المسلمون في مسائل عديدة كانت كلّ واحدة منها دافعا لما بعدها ، ويمكن أن نجمل تلك الاختلافات فيما يلي : اختلاف حول الخلافة ، اختلا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فات فقهيّة ( الأحكام العمليّة )،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اخت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لافات عقائديّة ( أصول الدّين ).</w:t>
      </w:r>
    </w:p>
    <w:p w:rsidR="00514DA3" w:rsidRPr="002775B9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2775B9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أ-1/ اختلاف حول الخلافة :</w:t>
      </w:r>
      <w:r w:rsidRPr="002775B9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هو خلاف مشهور معروف بين المسلمين بعد وفاة الرّسول عليه الصّلاة والسّلام حول من يؤمّ المسلمين بعده ويتولّى أمور الدّولة الإسلاميّة وهو خلاف سياسيّ خالص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إنّ تطوّر الخلاف بين المسلمين من خلاف سياسيّ إلى خلاف فقهيّ إلى خلاف عقائديّ أدّى إلى نشأة علم الكلام ، وذلك أنّ الاختلاف بين المسلمين أسفر عن نشوء فرق كثيرة وهذا مرجعه خلاف سياسيّ بالدّرجة الأولى .</w:t>
      </w:r>
    </w:p>
    <w:p w:rsidR="00514DA3" w:rsidRPr="002775B9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2775B9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أ - 2 / اختلاف حول الأحكام العمليّة :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قد يتساءل البعض : كيف أنّ الخلاف في الفروع كان سببا في نشأة علم الأصول ؟ مع العلم بأنّ الفروع الّتي تمثّل الأحكام العمليّة لها مجالها الخاصّ وعلومها الخاصّة بها وعلى رأسها علم الفقه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إنّ الفقه وأصوله أو بالأحرى استنباط الأحكام العمليّة من أدلّتها التّفصيليّة أدّى إلى الرّأي والاجتهاد ، وهذا المنهج عند المسلمين مسموح به وليس بدعة ، وكان في زمن الصّحابة الّذين كانوا يجيزونه ويعتمدونه فيما لم يكن ظاهرا لهم ، أو فيما لم يبيّنه الشّرع بشكل صريح ، وفي هذا يقول أبو إسحاق الشّيرازيّ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في كتابه طبقات الفقهاء : " إ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علم أنّ أكثر أصحاب رسول الله صلّى الله عليه وسلّم الّذين صحبوه ولازموه كانوا فقهاء ، وذلك أنّ طريق الفقه في حقّ الصّحابة خطاب الله تعالى أو خطاب رسوله صلّى الله عليه وسلّم وما عقل منها ، وأفعال رسول الله صلّى الله عليه سلّم وما عقل منها وخطاب الله عزّ وجلّ هو القرآن وقد أنزل بلغتهم وعلى أسباب عرفوها وقصص كانوا فيها فعرفوا مسطوره ومنصوصه ومعقوله " </w:t>
      </w:r>
      <w:r>
        <w:rPr>
          <w:rStyle w:val="Appelnotedebasdep"/>
          <w:rFonts w:asciiTheme="majorBidi" w:hAnsiTheme="majorBidi" w:cs="Traditional Arabic"/>
          <w:sz w:val="36"/>
          <w:szCs w:val="36"/>
          <w:rtl/>
          <w:lang w:bidi="ar-DZ"/>
        </w:rPr>
        <w:footnoteReference w:id="2"/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أمّا في زمن الرّسول عليه الصّلاة والسّلام فقد كان يجيب المسلمين على كلّ ما صعب عليهم بوحي من الله ، لكن بعد موته صلّى الله عليه وسلّم ، ظهرت بعض الأسئلة الفقهيّة الّتي لم يستطع أئمّة المسلمين وعلمائهم من الصحابة والتابعين الإجابة عليها ، إما لأنهم لم يجدوا جوبا صريحا محكما عنها في النص ، أو وجدوا جواب لها ، ولكنه لم يكن واضح الدلالة والمعنى ، فظهرت الحاجة إلى إعمال العقل والنظر من خلال الاجتهاد والرأي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إن هذا التوجه الجديد نحو الرأي والاجتهاد فتح باب الجدل بين المسلمين ، فدخلوا في بحوث فقهية استدعت منهم من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اهج في البحث ، كعلم أصول الفقه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خلاصة القول هو أن باب النظر والرأي والاجتهاد في المسائل الفقهية مهد الطريق نحو الجدل في العقائد ، وإن لم يكن الصحابة وأهل الحديث هم الذين أثاروا الجدل ح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 مسائل التوحيد والصفات 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وكلام الله والقضاء والقدر ، فإنه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م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أخذوا على عاتقهم في البداية مهمة الرد على أصحاب الشبه والمشككين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 xml:space="preserve">أ </w:t>
      </w:r>
      <w:r w:rsidRPr="00843EE7">
        <w:rPr>
          <w:rFonts w:asciiTheme="majorBidi" w:hAnsiTheme="majorBidi" w:cs="Traditional Arabic"/>
          <w:b/>
          <w:bCs/>
          <w:sz w:val="36"/>
          <w:szCs w:val="36"/>
          <w:highlight w:val="cyan"/>
          <w:rtl/>
          <w:lang w:bidi="ar-DZ"/>
        </w:rPr>
        <w:t>–</w:t>
      </w:r>
      <w:r w:rsidRPr="00843EE7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 xml:space="preserve"> 3/ اختلاف في العقائد :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وهو اختلاف ظهر في عصر الصحابة رضوان الله عليهم خاصة في نهايته ، ويمكن أن نلمح بوادره مع فرقة السبئية ، في قولهم بالتأليه ، وأيضا مع فتنة الخوارج الذين بالغوا كثيرا في قولهم بالتكفير وقولهم كذالك في الكفر والإيمان والوعد والوعيد .</w:t>
      </w:r>
    </w:p>
    <w:p w:rsidR="00514DA3" w:rsidRPr="00296EEA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هذا وقد تطور الجدل في العقائد مع فرقة القدرية وقولها بنفي القدر وأن الإنسان هو خالق أفعاله ، ثم ظهرت الجهمية والمرجئة وفرق 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المشبهة وغيرها ، وهذه الفرق كلها برزت</w:t>
      </w: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في نهاية القرن الأول للهجرة مع العهد الأموي الذي كثرت فيه الفتن واشتد فيه الجدل والشك وإثارة الشبه .</w:t>
      </w:r>
    </w:p>
    <w:p w:rsidR="00514DA3" w:rsidRDefault="00514DA3" w:rsidP="00514DA3">
      <w:pPr>
        <w:tabs>
          <w:tab w:val="left" w:pos="2937"/>
        </w:tabs>
        <w:ind w:left="-284" w:firstLine="283"/>
        <w:jc w:val="right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296EEA">
        <w:rPr>
          <w:rFonts w:asciiTheme="majorBidi" w:hAnsiTheme="majorBidi" w:cs="Traditional Arabic" w:hint="cs"/>
          <w:sz w:val="36"/>
          <w:szCs w:val="36"/>
          <w:rtl/>
          <w:lang w:bidi="ar-DZ"/>
        </w:rPr>
        <w:t>إن هذا الجدل في العقائد وما سبقه من جدل سياسي حول الخلافة ، ورأي واجتهاد في الأحكام العملية كان سببا مباشرا في نشأة علم الكلام ، وسنعود إلى هذا الجدل في العقائد بالتفصيل في خلال كلامنا عن مراحل وأدوار علم الكلام ،وذلك فيما يلي :</w:t>
      </w:r>
    </w:p>
    <w:p w:rsidR="00514DA3" w:rsidRDefault="00514DA3" w:rsidP="00514DA3">
      <w:pPr>
        <w:tabs>
          <w:tab w:val="left" w:pos="2937"/>
        </w:tabs>
        <w:ind w:left="-284" w:firstLine="283"/>
        <w:rPr>
          <w:rFonts w:asciiTheme="majorBidi" w:hAnsiTheme="majorBidi" w:cs="Traditional Arabic"/>
          <w:sz w:val="36"/>
          <w:szCs w:val="36"/>
          <w:rtl/>
          <w:lang w:bidi="ar-DZ"/>
        </w:rPr>
      </w:pPr>
    </w:p>
    <w:p w:rsidR="00514DA3" w:rsidRPr="00514DA3" w:rsidRDefault="00514DA3" w:rsidP="00514DA3">
      <w:pPr>
        <w:rPr>
          <w:lang w:bidi="ar-DZ"/>
        </w:rPr>
      </w:pPr>
    </w:p>
    <w:sectPr w:rsidR="00514DA3" w:rsidRPr="00514DA3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1A" w:rsidRDefault="00222E1A" w:rsidP="00514DA3">
      <w:r>
        <w:separator/>
      </w:r>
    </w:p>
  </w:endnote>
  <w:endnote w:type="continuationSeparator" w:id="1">
    <w:p w:rsidR="00222E1A" w:rsidRDefault="00222E1A" w:rsidP="0051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1A" w:rsidRDefault="00222E1A" w:rsidP="00514DA3">
      <w:r>
        <w:separator/>
      </w:r>
    </w:p>
  </w:footnote>
  <w:footnote w:type="continuationSeparator" w:id="1">
    <w:p w:rsidR="00222E1A" w:rsidRDefault="00222E1A" w:rsidP="00514DA3">
      <w:r>
        <w:continuationSeparator/>
      </w:r>
    </w:p>
  </w:footnote>
  <w:footnote w:id="2">
    <w:p w:rsidR="00514DA3" w:rsidRDefault="00514DA3" w:rsidP="00514DA3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 xml:space="preserve">أبي إسحاق الشّيرازيّ الشّافعيّ ، 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>طبقات الفقهاء ،تحقّيق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 xml:space="preserve"> و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>ت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>قدّ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>يم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 xml:space="preserve"> إحسان عبّاس ، دار الرّائد العربيّ بيروت د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>ون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 xml:space="preserve"> طبعة وسنة 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 xml:space="preserve">، </w:t>
      </w:r>
      <w:r w:rsidRPr="00A353BA">
        <w:rPr>
          <w:rFonts w:asciiTheme="majorBidi" w:hAnsiTheme="majorBidi" w:cs="Traditional Arabic" w:hint="cs"/>
          <w:sz w:val="26"/>
          <w:szCs w:val="26"/>
          <w:rtl/>
          <w:lang w:bidi="ar-DZ"/>
        </w:rPr>
        <w:t>ص 35</w:t>
      </w:r>
      <w:r>
        <w:rPr>
          <w:rFonts w:asciiTheme="majorBidi" w:hAnsiTheme="majorBidi" w:cs="Traditional Arabic" w:hint="cs"/>
          <w:sz w:val="26"/>
          <w:szCs w:val="26"/>
          <w:rtl/>
          <w:lang w:bidi="ar-DZ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9F2"/>
    <w:rsid w:val="00113AF3"/>
    <w:rsid w:val="00222E1A"/>
    <w:rsid w:val="004D2FE7"/>
    <w:rsid w:val="00514DA3"/>
    <w:rsid w:val="00D61797"/>
    <w:rsid w:val="00E7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14DA3"/>
    <w:pPr>
      <w:bidi/>
      <w:ind w:left="0" w:right="0"/>
      <w:jc w:val="left"/>
    </w:pPr>
    <w:rPr>
      <w:rFonts w:eastAsiaTheme="minorEastAsia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14DA3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514D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1576;&#1594;&#1610;&#1585;&#1607;&#160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2</cp:revision>
  <dcterms:created xsi:type="dcterms:W3CDTF">2021-05-31T16:44:00Z</dcterms:created>
  <dcterms:modified xsi:type="dcterms:W3CDTF">2021-05-31T16:47:00Z</dcterms:modified>
</cp:coreProperties>
</file>