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978B" w14:textId="77777777" w:rsidR="00F24A35" w:rsidRPr="00F24A35" w:rsidRDefault="00F24A35" w:rsidP="00F24A35">
      <w:pPr>
        <w:bidi/>
        <w:spacing w:after="200" w:line="276" w:lineRule="auto"/>
        <w:rPr>
          <w:rFonts w:ascii="Traditional Arabic" w:eastAsia="Calibri" w:hAnsi="Traditional Arabic" w:cs="Traditional Arabic"/>
          <w:sz w:val="32"/>
          <w:szCs w:val="32"/>
          <w:rtl/>
          <w:lang w:val="fr-FR" w:bidi="ar-DZ"/>
        </w:rPr>
      </w:pPr>
    </w:p>
    <w:p w14:paraId="6D8F6C56" w14:textId="73B046BC" w:rsidR="00F24A35" w:rsidRPr="00F24A35" w:rsidRDefault="00F24A35" w:rsidP="00F24A35">
      <w:pPr>
        <w:bidi/>
        <w:spacing w:after="200" w:line="276" w:lineRule="auto"/>
        <w:rPr>
          <w:rFonts w:ascii="Traditional Arabic" w:eastAsia="Calibri" w:hAnsi="Traditional Arabic" w:cs="Traditional Arabic"/>
          <w:sz w:val="32"/>
          <w:szCs w:val="32"/>
          <w:rtl/>
          <w:lang w:val="fr-FR" w:bidi="ar-DZ"/>
        </w:rPr>
      </w:pPr>
      <w:r w:rsidRPr="00F24A35">
        <w:rPr>
          <w:rFonts w:ascii="Traditional Arabic" w:eastAsia="Calibri" w:hAnsi="Traditional Arabic" w:cs="Traditional Arabic" w:hint="cs"/>
          <w:sz w:val="32"/>
          <w:szCs w:val="32"/>
          <w:u w:val="single"/>
          <w:rtl/>
          <w:lang w:val="fr-FR" w:bidi="ar-DZ"/>
        </w:rPr>
        <w:t>-تقديم الم</w:t>
      </w:r>
      <w:r w:rsidR="00CB40BE">
        <w:rPr>
          <w:rFonts w:ascii="Traditional Arabic" w:eastAsia="Calibri" w:hAnsi="Traditional Arabic" w:cs="Traditional Arabic" w:hint="cs"/>
          <w:sz w:val="32"/>
          <w:szCs w:val="32"/>
          <w:u w:val="single"/>
          <w:rtl/>
          <w:lang w:val="fr-FR" w:bidi="ar-DZ"/>
        </w:rPr>
        <w:t>قياس</w:t>
      </w:r>
      <w:r w:rsidRPr="00F24A35">
        <w:rPr>
          <w:rFonts w:ascii="Traditional Arabic" w:eastAsia="Calibri" w:hAnsi="Traditional Arabic" w:cs="Traditional Arabic" w:hint="cs"/>
          <w:sz w:val="32"/>
          <w:szCs w:val="32"/>
          <w:rtl/>
          <w:lang w:val="fr-FR" w:bidi="ar-DZ"/>
        </w:rPr>
        <w:t>:</w:t>
      </w:r>
    </w:p>
    <w:p w14:paraId="323C0BF7" w14:textId="77777777" w:rsidR="00F24A35" w:rsidRPr="00F24A35" w:rsidRDefault="00F24A35" w:rsidP="00F24A35">
      <w:pPr>
        <w:bidi/>
        <w:spacing w:after="200" w:line="276" w:lineRule="auto"/>
        <w:rPr>
          <w:rFonts w:ascii="Traditional Arabic" w:eastAsia="Calibri" w:hAnsi="Traditional Arabic" w:cs="Traditional Arabic"/>
          <w:sz w:val="32"/>
          <w:szCs w:val="32"/>
          <w:rtl/>
          <w:lang w:val="fr-FR" w:bidi="ar-DZ"/>
        </w:rPr>
      </w:pPr>
      <w:r w:rsidRPr="00F24A35">
        <w:rPr>
          <w:rFonts w:ascii="Traditional Arabic" w:eastAsia="Calibri" w:hAnsi="Traditional Arabic" w:cs="Traditional Arabic" w:hint="cs"/>
          <w:sz w:val="32"/>
          <w:szCs w:val="32"/>
          <w:rtl/>
          <w:lang w:val="fr-FR" w:bidi="ar-DZ"/>
        </w:rPr>
        <w:t>تعتبر هذه المحاضرة من أهمّ المحاضرات التي يجب على المتخصّص في العقائد و الأديان الإطّلاع عليها ؛ حيث يتمّ فيها التعرّف على محتوى العقائد المسيحية ، و كيفية تشكّلها ، و الوقوف على الفروق بينها و بين الأسرار المسيحية .</w:t>
      </w:r>
    </w:p>
    <w:p w14:paraId="44A3CBC9" w14:textId="77777777" w:rsidR="00F24A35" w:rsidRPr="00F24A35" w:rsidRDefault="00F24A35" w:rsidP="00F24A35">
      <w:pPr>
        <w:bidi/>
        <w:spacing w:after="200" w:line="276" w:lineRule="auto"/>
        <w:rPr>
          <w:rFonts w:ascii="Traditional Arabic" w:eastAsia="Calibri" w:hAnsi="Traditional Arabic" w:cs="Traditional Arabic"/>
          <w:sz w:val="32"/>
          <w:szCs w:val="32"/>
          <w:rtl/>
          <w:lang w:val="fr-FR" w:bidi="ar-DZ"/>
        </w:rPr>
      </w:pPr>
      <w:r w:rsidRPr="00F24A35">
        <w:rPr>
          <w:rFonts w:ascii="Traditional Arabic" w:eastAsia="Calibri" w:hAnsi="Traditional Arabic" w:cs="Traditional Arabic" w:hint="cs"/>
          <w:sz w:val="32"/>
          <w:szCs w:val="32"/>
          <w:rtl/>
          <w:lang w:val="fr-FR" w:bidi="ar-DZ"/>
        </w:rPr>
        <w:t>وقد أتاحت دراسة " مدخل إلى الأديان " التي تلقّاها الطلبة في السنة ثانية جذع مشترك إمكانية تكوين تصوّر عامّ عن العقائد و معرفة عامّة بالمصادر التي تفصّل في هذا الموضوع ، غير أنّه في هذه السنة و مع هذا المقياس سيتمكّن الطالب من تعميق معرفته بالعقائد و سيقف على التفاصيل المتّفق و المختلف فيها بين الطّوائف المسيحية.</w:t>
      </w:r>
    </w:p>
    <w:p w14:paraId="5ACDBBAE" w14:textId="2583A226" w:rsidR="00F24A35" w:rsidRPr="00F24A35" w:rsidRDefault="00F24A35" w:rsidP="00F24A35">
      <w:pPr>
        <w:bidi/>
        <w:spacing w:after="200" w:line="276" w:lineRule="auto"/>
        <w:rPr>
          <w:rFonts w:ascii="Traditional Arabic" w:eastAsia="Calibri" w:hAnsi="Traditional Arabic" w:cs="Traditional Arabic"/>
          <w:sz w:val="32"/>
          <w:szCs w:val="32"/>
          <w:u w:val="single"/>
          <w:rtl/>
          <w:lang w:val="fr-FR" w:bidi="ar-DZ"/>
        </w:rPr>
      </w:pPr>
      <w:r w:rsidRPr="00F24A35">
        <w:rPr>
          <w:rFonts w:ascii="Traditional Arabic" w:eastAsia="Calibri" w:hAnsi="Traditional Arabic" w:cs="Traditional Arabic" w:hint="cs"/>
          <w:sz w:val="32"/>
          <w:szCs w:val="32"/>
          <w:u w:val="single"/>
          <w:rtl/>
          <w:lang w:val="fr-FR" w:bidi="ar-DZ"/>
        </w:rPr>
        <w:t>محتوى المحاض</w:t>
      </w:r>
      <w:r w:rsidR="00CB40BE">
        <w:rPr>
          <w:rFonts w:ascii="Traditional Arabic" w:eastAsia="Calibri" w:hAnsi="Traditional Arabic" w:cs="Traditional Arabic" w:hint="cs"/>
          <w:sz w:val="32"/>
          <w:szCs w:val="32"/>
          <w:u w:val="single"/>
          <w:rtl/>
          <w:lang w:val="fr-FR" w:bidi="ar-DZ"/>
        </w:rPr>
        <w:t>رات:</w:t>
      </w:r>
    </w:p>
    <w:p w14:paraId="21A5DE00" w14:textId="77777777" w:rsidR="00F24A35" w:rsidRPr="00F24A35" w:rsidRDefault="00F24A35" w:rsidP="00F24A35">
      <w:pPr>
        <w:bidi/>
        <w:spacing w:after="200" w:line="276" w:lineRule="auto"/>
        <w:rPr>
          <w:rFonts w:ascii="Traditional Arabic" w:eastAsia="Calibri" w:hAnsi="Traditional Arabic" w:cs="Traditional Arabic"/>
          <w:sz w:val="32"/>
          <w:szCs w:val="32"/>
          <w:rtl/>
          <w:lang w:val="fr-FR" w:bidi="ar-DZ"/>
        </w:rPr>
      </w:pPr>
      <w:r w:rsidRPr="00F24A35">
        <w:rPr>
          <w:rFonts w:ascii="Traditional Arabic" w:eastAsia="Calibri" w:hAnsi="Traditional Arabic" w:cs="Traditional Arabic" w:hint="cs"/>
          <w:sz w:val="32"/>
          <w:szCs w:val="32"/>
          <w:rtl/>
          <w:lang w:val="fr-FR" w:bidi="ar-DZ"/>
        </w:rPr>
        <w:t>تحتوي المحاضرة على أربعة نشاطات للتعلّم ، و كلّ نشاط يأتي ضمن تسلسل بيداغوجي يسمح باستيعاب المفاهيم التي تطرّق إليها الدّرس ، مع تدعيم المحاضرة بسلسلة من  البحوث تعمّق المعرفة و تكسب الطالب القدرة على البحث أكثر .</w:t>
      </w:r>
    </w:p>
    <w:p w14:paraId="1ECFBC67" w14:textId="77777777" w:rsidR="009C4110" w:rsidRPr="00F24A35" w:rsidRDefault="009C4110" w:rsidP="00F24A35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sectPr w:rsidR="009C4110" w:rsidRPr="00F24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35"/>
    <w:rsid w:val="009C4110"/>
    <w:rsid w:val="00CB40BE"/>
    <w:rsid w:val="00F2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03B13B"/>
  <w15:chartTrackingRefBased/>
  <w15:docId w15:val="{884B9566-5991-4E02-B8FE-0A9D8CC7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2021-06-13T11:35:00Z</dcterms:created>
  <dcterms:modified xsi:type="dcterms:W3CDTF">2021-06-13T11:37:00Z</dcterms:modified>
</cp:coreProperties>
</file>