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A3FB6" w14:textId="77777777" w:rsidR="00763DB6" w:rsidRPr="00763DB6" w:rsidRDefault="00763DB6" w:rsidP="00763DB6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مخطّط </w:t>
      </w:r>
      <w:proofErr w:type="gramStart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الدّرس :</w:t>
      </w:r>
      <w:proofErr w:type="gramEnd"/>
    </w:p>
    <w:p w14:paraId="529B07D3" w14:textId="77777777" w:rsidR="00763DB6" w:rsidRPr="00763DB6" w:rsidRDefault="00763DB6" w:rsidP="00763DB6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1.</w:t>
      </w:r>
      <w:proofErr w:type="gramStart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مقدّمة :</w:t>
      </w:r>
      <w:proofErr w:type="gramEnd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 تعريف بموضوع العقائد بوجه عامّ.</w:t>
      </w:r>
    </w:p>
    <w:p w14:paraId="20881A46" w14:textId="77777777" w:rsidR="00763DB6" w:rsidRPr="00763DB6" w:rsidRDefault="00763DB6" w:rsidP="00763DB6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2.عقيدة </w:t>
      </w:r>
      <w:proofErr w:type="gramStart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التثليث :</w:t>
      </w:r>
      <w:proofErr w:type="gramEnd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 و فيه يتعرّف الطالب من خلال النصوص المقدّسة و قرارات المجامع على حجج المسيحيين في القول بالتثليث.</w:t>
      </w:r>
    </w:p>
    <w:p w14:paraId="2064A322" w14:textId="77777777" w:rsidR="00763DB6" w:rsidRPr="00763DB6" w:rsidRDefault="00763DB6" w:rsidP="00763DB6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3.عقيدة </w:t>
      </w:r>
      <w:proofErr w:type="gramStart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الصّلب :</w:t>
      </w:r>
      <w:proofErr w:type="gramEnd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 شرح ماهية الصّلب  .</w:t>
      </w:r>
    </w:p>
    <w:p w14:paraId="4FD30F91" w14:textId="77777777" w:rsidR="00763DB6" w:rsidRPr="00763DB6" w:rsidRDefault="00763DB6" w:rsidP="00763DB6">
      <w:pPr>
        <w:bidi/>
        <w:spacing w:after="200" w:line="276" w:lineRule="auto"/>
        <w:rPr>
          <w:rFonts w:ascii="Traditional Arabic" w:eastAsia="Calibri" w:hAnsi="Traditional Arabic" w:cs="Traditional Arabic"/>
          <w:sz w:val="32"/>
          <w:szCs w:val="32"/>
          <w:rtl/>
          <w:lang w:val="fr-FR" w:bidi="ar-DZ"/>
        </w:rPr>
      </w:pPr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4.الفداء و </w:t>
      </w:r>
      <w:proofErr w:type="gramStart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>القيام :</w:t>
      </w:r>
      <w:proofErr w:type="gramEnd"/>
      <w:r w:rsidRPr="00763DB6">
        <w:rPr>
          <w:rFonts w:ascii="Traditional Arabic" w:eastAsia="Calibri" w:hAnsi="Traditional Arabic" w:cs="Traditional Arabic" w:hint="cs"/>
          <w:sz w:val="32"/>
          <w:szCs w:val="32"/>
          <w:rtl/>
          <w:lang w:val="fr-FR" w:bidi="ar-DZ"/>
        </w:rPr>
        <w:t xml:space="preserve"> شرح ماهيتهما مع ذكر النصوص التي يحتجّ بها المسيحيون.</w:t>
      </w:r>
    </w:p>
    <w:p w14:paraId="27CDD6DB" w14:textId="77777777" w:rsidR="00BB360C" w:rsidRPr="00763DB6" w:rsidRDefault="00BB360C" w:rsidP="00763DB6">
      <w:pPr>
        <w:bidi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BB360C" w:rsidRPr="00763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B6"/>
    <w:rsid w:val="00763DB6"/>
    <w:rsid w:val="00B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009D1"/>
  <w15:chartTrackingRefBased/>
  <w15:docId w15:val="{EC895BED-D567-48B0-8A09-272ECE89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2021-06-13T12:06:00Z</dcterms:created>
  <dcterms:modified xsi:type="dcterms:W3CDTF">2021-06-13T12:06:00Z</dcterms:modified>
</cp:coreProperties>
</file>