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A1" w:rsidRPr="008966C8" w:rsidRDefault="00CE7BA1" w:rsidP="008966C8">
      <w:pPr>
        <w:bidi/>
        <w:spacing w:after="240"/>
        <w:ind w:left="825"/>
        <w:jc w:val="center"/>
        <w:rPr>
          <w:rFonts w:ascii="Simplified Arabic" w:hAnsi="Simplified Arabic" w:cs="Simplified Arabic"/>
          <w:color w:val="7030A0"/>
          <w:sz w:val="52"/>
          <w:szCs w:val="52"/>
          <w:rtl/>
        </w:rPr>
      </w:pPr>
      <w:r w:rsidRPr="008966C8">
        <w:rPr>
          <w:rFonts w:ascii="Simplified Arabic" w:hAnsi="Simplified Arabic" w:cs="Simplified Arabic" w:hint="cs"/>
          <w:color w:val="7030A0"/>
          <w:sz w:val="52"/>
          <w:szCs w:val="52"/>
          <w:rtl/>
        </w:rPr>
        <w:t>الجمهورية الجزائرية الديمقراطية الشعبية</w:t>
      </w:r>
    </w:p>
    <w:p w:rsidR="008966C8" w:rsidRDefault="00CE7BA1" w:rsidP="008966C8">
      <w:pPr>
        <w:bidi/>
        <w:spacing w:after="240"/>
        <w:ind w:left="825"/>
        <w:jc w:val="center"/>
        <w:rPr>
          <w:rFonts w:ascii="Simplified Arabic" w:hAnsi="Simplified Arabic" w:cs="Simplified Arabic"/>
          <w:color w:val="7030A0"/>
          <w:sz w:val="40"/>
          <w:szCs w:val="40"/>
          <w:rtl/>
        </w:rPr>
      </w:pPr>
      <w:r w:rsidRPr="008966C8">
        <w:rPr>
          <w:rFonts w:ascii="Simplified Arabic" w:hAnsi="Simplified Arabic" w:cs="Simplified Arabic" w:hint="cs"/>
          <w:color w:val="7030A0"/>
          <w:sz w:val="40"/>
          <w:szCs w:val="40"/>
          <w:rtl/>
        </w:rPr>
        <w:t>جامعة أبوبكر بلقايد ولاية تلمسان</w:t>
      </w:r>
    </w:p>
    <w:p w:rsidR="008966C8" w:rsidRDefault="00214697" w:rsidP="004A02BE">
      <w:pPr>
        <w:bidi/>
        <w:spacing w:after="240"/>
        <w:ind w:left="825"/>
        <w:jc w:val="center"/>
        <w:rPr>
          <w:rFonts w:ascii="Simplified Arabic" w:hAnsi="Simplified Arabic" w:cs="Simplified Arabic"/>
          <w:color w:val="7030A0"/>
          <w:sz w:val="40"/>
          <w:szCs w:val="40"/>
          <w:rtl/>
        </w:rPr>
      </w:pP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السنة الجامعية</w:t>
      </w:r>
      <w:r w:rsidR="004A02BE">
        <w:rPr>
          <w:rFonts w:ascii="Simplified Arabic" w:hAnsi="Simplified Arabic" w:cs="Simplified Arabic" w:hint="cs"/>
          <w:color w:val="7030A0"/>
          <w:sz w:val="32"/>
          <w:szCs w:val="32"/>
          <w:rtl/>
        </w:rPr>
        <w:t>: 2021-2022</w:t>
      </w:r>
    </w:p>
    <w:p w:rsidR="008966C8" w:rsidRDefault="00CE7BA1" w:rsidP="00AF6962">
      <w:pPr>
        <w:bidi/>
        <w:spacing w:after="240" w:line="240" w:lineRule="auto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كلية العلوم الإنسانية والاجتماعية</w:t>
      </w:r>
    </w:p>
    <w:p w:rsidR="008966C8" w:rsidRDefault="008966C8" w:rsidP="00AF6962">
      <w:pPr>
        <w:bidi/>
        <w:spacing w:after="240" w:line="240" w:lineRule="auto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قسم العلوم الانسانية</w:t>
      </w:r>
      <w:r w:rsidR="0071648E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والاجتماعية</w:t>
      </w:r>
      <w:r w:rsidR="0071648E">
        <w:rPr>
          <w:rFonts w:ascii="Simplified Arabic" w:hAnsi="Simplified Arabic" w:cs="Simplified Arabic"/>
          <w:color w:val="7030A0"/>
          <w:sz w:val="32"/>
          <w:szCs w:val="32"/>
          <w:rtl/>
        </w:rPr>
        <w:tab/>
      </w:r>
      <w:r w:rsidR="0071648E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          </w:t>
      </w:r>
      <w:r w:rsidR="0071648E" w:rsidRPr="0071648E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قسم الماستر</w:t>
      </w:r>
      <w:r w:rsidR="00214697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02</w:t>
      </w:r>
      <w:r w:rsidR="0071648E" w:rsidRPr="0071648E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فلسفة</w:t>
      </w:r>
      <w:r w:rsidR="006C5A6A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عربية وإسلامية</w:t>
      </w:r>
    </w:p>
    <w:p w:rsidR="00AF6962" w:rsidRDefault="008966C8" w:rsidP="00214697">
      <w:pPr>
        <w:tabs>
          <w:tab w:val="center" w:pos="4536"/>
        </w:tabs>
        <w:bidi/>
        <w:spacing w:after="240" w:line="240" w:lineRule="auto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شعبة الفلسفة</w:t>
      </w:r>
      <w:r w:rsidR="00AF6962">
        <w:rPr>
          <w:rFonts w:ascii="Simplified Arabic" w:hAnsi="Simplified Arabic" w:cs="Simplified Arabic"/>
          <w:color w:val="7030A0"/>
          <w:sz w:val="32"/>
          <w:szCs w:val="32"/>
          <w:rtl/>
        </w:rPr>
        <w:tab/>
      </w:r>
      <w:r w:rsidR="00AF6962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                      الدرس النظريُّ رقم </w:t>
      </w:r>
      <w:r w:rsidR="006C5A6A">
        <w:rPr>
          <w:rFonts w:ascii="Simplified Arabic" w:hAnsi="Simplified Arabic" w:cs="Simplified Arabic" w:hint="cs"/>
          <w:color w:val="7030A0"/>
          <w:sz w:val="32"/>
          <w:szCs w:val="32"/>
          <w:rtl/>
        </w:rPr>
        <w:t>02</w:t>
      </w:r>
    </w:p>
    <w:p w:rsidR="008966C8" w:rsidRPr="00214697" w:rsidRDefault="00AF6962" w:rsidP="00214697">
      <w:pPr>
        <w:tabs>
          <w:tab w:val="left" w:pos="6177"/>
        </w:tabs>
        <w:bidi/>
        <w:spacing w:after="240" w:line="240" w:lineRule="auto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214697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السداسي</w:t>
      </w:r>
      <w:r w:rsidR="006C5A6A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الثاني</w:t>
      </w:r>
      <w:r w:rsidR="0006759D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:</w:t>
      </w:r>
      <w:bookmarkStart w:id="0" w:name="_GoBack"/>
      <w:bookmarkEnd w:id="0"/>
      <w:r w:rsidRPr="00214697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ab/>
      </w:r>
    </w:p>
    <w:p w:rsidR="00AF6962" w:rsidRDefault="00AF6962" w:rsidP="00AF6962">
      <w:pPr>
        <w:tabs>
          <w:tab w:val="left" w:pos="6177"/>
        </w:tabs>
        <w:bidi/>
        <w:spacing w:after="240" w:line="240" w:lineRule="auto"/>
        <w:rPr>
          <w:rFonts w:ascii="Simplified Arabic" w:hAnsi="Simplified Arabic" w:cs="Simplified Arabic"/>
          <w:color w:val="7030A0"/>
          <w:sz w:val="32"/>
          <w:szCs w:val="32"/>
          <w:rtl/>
        </w:rPr>
      </w:pPr>
    </w:p>
    <w:p w:rsidR="0006759D" w:rsidRDefault="0006759D" w:rsidP="0006759D">
      <w:pPr>
        <w:bidi/>
        <w:spacing w:after="240"/>
        <w:ind w:left="825"/>
        <w:jc w:val="center"/>
        <w:rPr>
          <w:rFonts w:ascii="Simplified Arabic" w:hAnsi="Simplified Arabic" w:cs="Simplified Arabic"/>
          <w:color w:val="7030A0"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52"/>
          <w:szCs w:val="52"/>
          <w:rtl/>
        </w:rPr>
        <w:t>في ضرورة الدَّرس البلاغيِّ</w:t>
      </w:r>
    </w:p>
    <w:p w:rsidR="00AF6962" w:rsidRDefault="00AF6962" w:rsidP="00AF6962">
      <w:pPr>
        <w:tabs>
          <w:tab w:val="left" w:pos="6177"/>
        </w:tabs>
        <w:bidi/>
        <w:spacing w:after="240" w:line="240" w:lineRule="auto"/>
        <w:rPr>
          <w:rFonts w:ascii="Simplified Arabic" w:hAnsi="Simplified Arabic" w:cs="Simplified Arabic"/>
          <w:color w:val="7030A0"/>
          <w:sz w:val="32"/>
          <w:szCs w:val="32"/>
          <w:rtl/>
        </w:rPr>
      </w:pPr>
    </w:p>
    <w:p w:rsidR="00AF6962" w:rsidRDefault="00AF6962" w:rsidP="00AF6962">
      <w:pPr>
        <w:tabs>
          <w:tab w:val="left" w:pos="6177"/>
        </w:tabs>
        <w:bidi/>
        <w:spacing w:after="240" w:line="240" w:lineRule="auto"/>
        <w:rPr>
          <w:rFonts w:ascii="Simplified Arabic" w:hAnsi="Simplified Arabic" w:cs="Simplified Arabic"/>
          <w:color w:val="7030A0"/>
          <w:sz w:val="32"/>
          <w:szCs w:val="32"/>
          <w:rtl/>
        </w:rPr>
      </w:pPr>
    </w:p>
    <w:p w:rsidR="0071648E" w:rsidRDefault="0071648E" w:rsidP="00AF6962">
      <w:pPr>
        <w:tabs>
          <w:tab w:val="center" w:pos="4536"/>
        </w:tabs>
        <w:bidi/>
        <w:spacing w:after="240" w:line="240" w:lineRule="auto"/>
        <w:rPr>
          <w:rFonts w:ascii="Simplified Arabic" w:hAnsi="Simplified Arabic" w:cs="Simplified Arabic"/>
          <w:color w:val="7030A0"/>
          <w:sz w:val="56"/>
          <w:szCs w:val="56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ab/>
      </w:r>
      <w:r w:rsidRPr="0071648E">
        <w:rPr>
          <w:rFonts w:ascii="Simplified Arabic" w:hAnsi="Simplified Arabic" w:cs="Simplified Arabic" w:hint="cs"/>
          <w:color w:val="7030A0"/>
          <w:sz w:val="56"/>
          <w:szCs w:val="56"/>
          <w:rtl/>
        </w:rPr>
        <w:t>مقرر الحجاج الفلسفي</w:t>
      </w:r>
    </w:p>
    <w:p w:rsidR="00AF6962" w:rsidRPr="00AF6962" w:rsidRDefault="00AF6962" w:rsidP="00AF6962">
      <w:pPr>
        <w:tabs>
          <w:tab w:val="center" w:pos="4536"/>
        </w:tabs>
        <w:bidi/>
        <w:spacing w:after="240" w:line="240" w:lineRule="auto"/>
        <w:jc w:val="center"/>
        <w:rPr>
          <w:rFonts w:ascii="Simplified Arabic" w:hAnsi="Simplified Arabic" w:cs="Simplified Arabic"/>
          <w:color w:val="7030A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تحت إشراف الأستاذ: </w:t>
      </w:r>
      <w:r w:rsidRPr="0021436A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</w:rPr>
        <w:t>بلقناديل عبد القادر</w:t>
      </w:r>
    </w:p>
    <w:p w:rsidR="00AF6962" w:rsidRDefault="0021436A" w:rsidP="0021436A">
      <w:pPr>
        <w:tabs>
          <w:tab w:val="center" w:pos="4536"/>
        </w:tabs>
        <w:bidi/>
        <w:spacing w:after="240" w:line="240" w:lineRule="auto"/>
        <w:jc w:val="center"/>
        <w:rPr>
          <w:rFonts w:ascii="Simplified Arabic" w:hAnsi="Simplified Arabic" w:cs="Simplified Arabic"/>
          <w:color w:val="7030A0"/>
          <w:sz w:val="32"/>
          <w:szCs w:val="32"/>
        </w:rPr>
      </w:pPr>
      <w:r>
        <w:rPr>
          <w:rFonts w:ascii="Simplified Arabic" w:hAnsi="Simplified Arabic" w:cs="Simplified Arabic"/>
          <w:color w:val="7030A0"/>
          <w:sz w:val="32"/>
          <w:szCs w:val="32"/>
        </w:rPr>
        <w:t>philosophietlemcen@gmail.com</w:t>
      </w:r>
    </w:p>
    <w:p w:rsidR="0071648E" w:rsidRPr="008966C8" w:rsidRDefault="0071648E" w:rsidP="0071648E">
      <w:pPr>
        <w:tabs>
          <w:tab w:val="left" w:pos="6957"/>
        </w:tabs>
        <w:bidi/>
        <w:spacing w:after="240"/>
        <w:rPr>
          <w:rFonts w:ascii="Simplified Arabic" w:hAnsi="Simplified Arabic" w:cs="Simplified Arabic"/>
          <w:color w:val="7030A0"/>
          <w:sz w:val="40"/>
          <w:szCs w:val="40"/>
          <w:rtl/>
        </w:rPr>
      </w:pPr>
    </w:p>
    <w:p w:rsidR="00CE7BA1" w:rsidRPr="008966C8" w:rsidRDefault="00CE7BA1" w:rsidP="008966C8">
      <w:pPr>
        <w:bidi/>
        <w:spacing w:after="240"/>
        <w:rPr>
          <w:rFonts w:ascii="Simplified Arabic" w:hAnsi="Simplified Arabic" w:cs="Simplified Arabic"/>
          <w:color w:val="7030A0"/>
          <w:sz w:val="40"/>
          <w:szCs w:val="40"/>
          <w:rtl/>
        </w:rPr>
      </w:pPr>
    </w:p>
    <w:p w:rsidR="00CE7BA1" w:rsidRDefault="00CE7BA1" w:rsidP="00AF6962">
      <w:pPr>
        <w:bidi/>
        <w:spacing w:after="240"/>
        <w:rPr>
          <w:rFonts w:ascii="Simplified Arabic" w:hAnsi="Simplified Arabic" w:cs="Simplified Arabic"/>
          <w:color w:val="7030A0"/>
          <w:sz w:val="52"/>
          <w:szCs w:val="52"/>
          <w:rtl/>
        </w:rPr>
      </w:pPr>
    </w:p>
    <w:p w:rsidR="00CE7BA1" w:rsidRDefault="00CE7BA1" w:rsidP="007A4066">
      <w:pPr>
        <w:bidi/>
        <w:spacing w:after="240"/>
        <w:ind w:left="825"/>
        <w:jc w:val="center"/>
        <w:rPr>
          <w:rFonts w:ascii="Simplified Arabic" w:hAnsi="Simplified Arabic" w:cs="Simplified Arabic"/>
          <w:color w:val="7030A0"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52"/>
          <w:szCs w:val="52"/>
          <w:rtl/>
        </w:rPr>
        <w:t>في ضرورة الدَّرس البلاغيِّ</w:t>
      </w:r>
    </w:p>
    <w:p w:rsidR="00A94675" w:rsidRPr="00A94675" w:rsidRDefault="00A94675" w:rsidP="00A94675">
      <w:pPr>
        <w:bidi/>
        <w:spacing w:after="240"/>
        <w:jc w:val="left"/>
        <w:rPr>
          <w:rFonts w:ascii="Simplified Arabic" w:hAnsi="Simplified Arabic" w:cs="Simplified Arabic"/>
          <w:b/>
          <w:bCs/>
          <w:color w:val="7030A0"/>
          <w:sz w:val="32"/>
          <w:szCs w:val="32"/>
        </w:rPr>
      </w:pPr>
      <w:r w:rsidRPr="00A94675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مقدمة:</w:t>
      </w:r>
    </w:p>
    <w:p w:rsidR="00911DF1" w:rsidRDefault="00911DF1" w:rsidP="00911DF1">
      <w:pPr>
        <w:bidi/>
        <w:spacing w:after="240"/>
        <w:jc w:val="left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إن </w:t>
      </w:r>
      <w:r w:rsidRPr="00911DF1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الموقف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الذي يتبناه </w:t>
      </w:r>
      <w:r w:rsidRPr="00911DF1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مذهب الوضعية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والذي يقصي الفلسفة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،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إنما هو بالفعل خلاصة تطور دام أكثر من ثلاثة قرون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مضت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. أول من أطلق شرار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ته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الفيلسوف الفرنسيُّ ( ديكارت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noBreakHyphen/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Descartes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فبعد الإصلاح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،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وبعد عماء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chaos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حروب الديَّانة ، بدأت الأوساط المثقفة الأوربية تتوق لنظام جديد يتأسس على العقل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وعليه، ففي مجالات معينة، خصوصا الرياضيات، جرى التوصُّل بفضل أدلة لا نقاش فيها ولا تردد إلى تحقيق إجماع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العلماء كافة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بناء عليه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قيل: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لماذا لا يجري توسيع نطاق هذه القواعد التي نجحت جيدا في العلوم الاستنتاجية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حتى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تنطبق على الفلسفة ؟ فبواسطة المناهج الرياضياتية، نستطيع استخراج قواعد من أجل توجيه الفكر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-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الروح،  وتطبيقها على المشكلات الفلسفية لتشييد نسق جديد للعالم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...</w:t>
      </w:r>
    </w:p>
    <w:p w:rsidR="00911DF1" w:rsidRDefault="00911DF1" w:rsidP="00911DF1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لقد جرى يومها تأسيس هذه المشروع بالاحتكام إلى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البداهة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l'évidence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التي هي الصفة المميزة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للحدس العقلي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لدى أنصار الديكارتية، و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الحدس الحسيِّ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لدى أنصار الإمبريقية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ليست هذه البداهة صفة بسيكولوجية خالصة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ومتمايزة،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إنما هي </w:t>
      </w:r>
      <w:r w:rsidRPr="00911DF1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قوة تفرض نفسها من فوق على كل موجود عاقل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مظهرة حقيقة ما يَفْرِضُ نفسه على هذا النحو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تكون البداهة بالضرورة حقيقة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-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صادقة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vrai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تقبل المعرفة مباشرة، وما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الدَّليل هنا، سوى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lastRenderedPageBreak/>
        <w:t>استنتاج ضروري لما لا يكون بديهيا انطلاقا من أطروحات بديهية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.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مثل هذا النسق لن يكون في حاجة قط إلى أيِّ محاجَّة، ذلك لأن هذه المحاجَّة إنما تنصبُّ على كل ما هو من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المعرفة الاعتبارية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le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vraisemblable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 w:rsidR="0040203E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فقط، و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حسب (ديكارت) يجب اتخاذه "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تقريبا كخطأ كافة ما هو من الإعتباريات "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يجب أن نلغي من العلم كل ما يبدي أدنى شك ، وإذا ما حصل أن اختلف عالمان ، في الموضوع نفسه ، وقد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ما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رأيين مختلفين ، فإن أحدهما على خطأ ،</w:t>
      </w:r>
      <w:r w:rsidR="0040203E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بل أكثر من ذلك : لا أحد منهما 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ي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ملك العلم ، ذلك لأنه إذا كانت تعليلاته بديهية ، يكون قادرا لا محالة على إقناع الآخر بها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</w:p>
    <w:p w:rsidR="0040203E" w:rsidRDefault="00911DF1" w:rsidP="00911DF1">
      <w:pPr>
        <w:bidi/>
        <w:spacing w:after="240"/>
        <w:ind w:hanging="141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إذن ، لقد قام (ديكارت) مقترحا على الفلاسفة </w:t>
      </w:r>
      <w:r w:rsidRPr="0040203E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منوال الاستدلال الرياضياتي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هذا الذي يسمح باستنتاجات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ضرورية مؤسسة على البديهيات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في امتداد مذهب العقلانية الديكارتية ، إن المنطق بما هو دراسة أدوات </w:t>
      </w:r>
      <w:r w:rsidR="0040203E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الدليل ، قد جرى حصره تدريجيا 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في حيز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المنطق الصوري ، الذي هو دراسة التقنيات البرهانية لدى الرياضياتيين. بالموازاة، يكون قد جرى تضييق نطاق حقل المعقول بشكل معتبر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</w:p>
    <w:p w:rsidR="0040203E" w:rsidRDefault="00911DF1" w:rsidP="0040203E">
      <w:pPr>
        <w:bidi/>
        <w:spacing w:after="240"/>
        <w:ind w:hanging="141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 w:rsidRPr="0040203E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نتيجة لذلك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، إن كافة أدوات الدليل المستعملة في العلوم الإنسانية قد تم عزلها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لقد أصبح العقل غير كفء ضمن كافة المج</w:t>
      </w:r>
      <w:r w:rsidR="0040203E">
        <w:rPr>
          <w:rFonts w:ascii="Simplified Arabic" w:hAnsi="Simplified Arabic" w:cs="Simplified Arabic"/>
          <w:color w:val="7030A0"/>
          <w:sz w:val="32"/>
          <w:szCs w:val="32"/>
          <w:rtl/>
        </w:rPr>
        <w:t>الات التي تفلت من الحساب،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وهاقد تركت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للقوى اللاعقلية: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الغرائز، الانطباعات و العنف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</w:p>
    <w:p w:rsidR="00911DF1" w:rsidRDefault="00911DF1" w:rsidP="0040203E">
      <w:pPr>
        <w:bidi/>
        <w:spacing w:after="240"/>
        <w:ind w:hanging="141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على الرغم من وجود كُتَّاب معينين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، مثل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Pascal</w:t>
      </w:r>
      <w:r>
        <w:rPr>
          <w:rFonts w:ascii="Simplified Arabic" w:hAnsi="Simplified Arabic" w:cs="Simplified Arabic"/>
          <w:color w:val="7030A0"/>
          <w:sz w:val="32"/>
          <w:szCs w:val="32"/>
        </w:rPr>
        <w:t>)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كانط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Kant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برغسون</w:t>
      </w:r>
      <w:r>
        <w:rPr>
          <w:rFonts w:ascii="Simplified Arabic" w:hAnsi="Simplified Arabic" w:cs="Simplified Arabic"/>
          <w:color w:val="7030A0"/>
          <w:sz w:val="32"/>
          <w:szCs w:val="32"/>
        </w:rPr>
        <w:t>(</w:t>
      </w:r>
      <w:r>
        <w:rPr>
          <w:rFonts w:ascii="Simplified Arabic" w:hAnsi="Simplified Arabic" w:cs="Simplified Arabic"/>
          <w:color w:val="7030A0"/>
          <w:sz w:val="28"/>
          <w:szCs w:val="28"/>
        </w:rPr>
        <w:t>Bergson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>...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Pr="0040203E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حاولوا بجدٍّ من جهتهم القيام بردَّة فعل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. لكن وهم، يعارضون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مثلا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بين الإيمان والعلم، قد ساهموا في </w:t>
      </w:r>
      <w:r w:rsidRPr="0040203E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تمْتِين تلك المفهمة الضَّيقة للعقل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إلا أن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هذه المفهمة لم تسلم من النقد، فـ(ديكارت) نفسه قد اضطر إلى الاحتماء بأخلاق مُؤَقَّتة؛ ذلك لأنه عندما يتعلق الأمر بالممارس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>ة</w:t>
      </w:r>
      <w:r w:rsidR="0040203E">
        <w:rPr>
          <w:rFonts w:ascii="Simplified Arabic" w:hAnsi="Simplified Arabic" w:cs="Simplified Arabic" w:hint="cs"/>
          <w:color w:val="7030A0"/>
          <w:sz w:val="32"/>
          <w:szCs w:val="32"/>
          <w:rtl/>
          <w:lang w:bidi="ar-DZ"/>
        </w:rPr>
        <w:t>-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العمل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la </w:t>
      </w:r>
      <w:r>
        <w:rPr>
          <w:rFonts w:ascii="Simplified Arabic" w:hAnsi="Simplified Arabic" w:cs="Simplified Arabic"/>
          <w:color w:val="7030A0"/>
          <w:sz w:val="28"/>
          <w:szCs w:val="28"/>
        </w:rPr>
        <w:t>pratique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وليس بالعلم، يكون قد تدارك هذه الأولوية العاجلة التي يفرضها الفعل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l'action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وكان قد قبِلَ إلى أجلً مُسمَّى ،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عدم الشك في القواعد التقليدية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ولا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lastRenderedPageBreak/>
        <w:t>في الآراء المحتملة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ولكن من ناح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ية أكثر جذرية، 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من الضَّروري 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التَّهَجُّم على تصور البداهة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>.</w:t>
      </w:r>
    </w:p>
    <w:p w:rsidR="00911DF1" w:rsidRDefault="00911DF1" w:rsidP="00911DF1">
      <w:pPr>
        <w:bidi/>
        <w:spacing w:after="240"/>
        <w:ind w:firstLine="708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كان (ديكارت) يعتقد بوجود تصورات واضحة ومتمايزة تسمح بوجود قضايا بديهية، إنها تصورات في مقدورنا التمكن منها بواسطة حدس لا يخطئ ينصب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ُّ</w:t>
      </w:r>
      <w:r w:rsidR="005012E2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على طب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ائع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بسيطة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إلا أن </w:t>
      </w:r>
      <w:r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الإقرار بوجود طبائع بسيطة يستجيب لرؤية ذرية للواقع، نعرف اليوم أن فيزياء الكونطا ابيستمولوجيا المنظوميات قد بينت عدم كفايتها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.أما التقنيات السامحة بالقضاء، على كل التب</w:t>
      </w:r>
      <w:r w:rsidR="005012E2">
        <w:rPr>
          <w:rFonts w:ascii="Simplified Arabic" w:hAnsi="Simplified Arabic" w:cs="Simplified Arabic"/>
          <w:color w:val="7030A0"/>
          <w:sz w:val="32"/>
          <w:szCs w:val="32"/>
          <w:rtl/>
        </w:rPr>
        <w:t>اس في الرياضيات واللغات المصورن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عموما، </w:t>
      </w:r>
      <w:r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ليست ذات قيمة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سوى في مقامات استثنائية جدا.</w:t>
      </w:r>
    </w:p>
    <w:p w:rsidR="005012E2" w:rsidRDefault="00911DF1" w:rsidP="005012E2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عندما لا تكون عملية تطبيق تصور ما غير محدودة اصطناعيا، فما وضوحها سوى كيفية افتراضية، جرى إخضاعها للاختبار عند كل حالة تطبيق جديدة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لقد كانت الرؤية الديكارتية للكون ذرية وميكانيكية . وقد جرى فهم العلم ضمنها باعتباره متقدما كميا، بواسطة مراكمة 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إضافة الحقائ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ق البديهية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،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من غير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ان يعاد النظر أبدا في إحداها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ح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اصل ذلك هو </w:t>
      </w:r>
      <w:r w:rsidR="005012E2" w:rsidRPr="005012E2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الصفة اللاإجتماعية و</w:t>
      </w:r>
      <w:r w:rsidRPr="005012E2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اللاتاريخية للمعرفة العلمية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،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ومثله تماما وجود 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ان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فص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ل واضح فيما بين النظرية والتطبيق -الممارسة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</w:p>
    <w:p w:rsidR="00911DF1" w:rsidRDefault="00911DF1" w:rsidP="005012E2">
      <w:pPr>
        <w:bidi/>
        <w:spacing w:after="240"/>
        <w:jc w:val="left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</w:t>
      </w:r>
      <w:r w:rsidRPr="005012E2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أما اليوم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،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ليست وحدها </w:t>
      </w:r>
      <w:r w:rsidRPr="005012E2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فكرة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إرادة حل كافة المشكلات بواسطة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منهجية وحيدة مستقاه من الرياضيات</w:t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footnoteReference w:customMarkFollows="1" w:id="1"/>
        <w:sym w:font="Symbol" w:char="002A"/>
      </w:r>
      <w:r w:rsidR="005012E2">
        <w:rPr>
          <w:rStyle w:val="FootnoteReference"/>
          <w:rFonts w:ascii="Simplified Arabic" w:hAnsi="Simplified Arabic" w:cs="Simplified Arabic" w:hint="cs"/>
          <w:color w:val="7030A0"/>
          <w:sz w:val="40"/>
          <w:szCs w:val="40"/>
          <w:rtl/>
        </w:rPr>
        <w:t xml:space="preserve"> 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بدو لنا تعسُّف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 بل حتَّى </w:t>
      </w:r>
      <w:r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مفهمته للعلم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في حد ذاته تبدو في نظرنا مُبْتذلة.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بل إنه قبل أي شيء، ليس في جميع المجالات تكون المعرفة العلمية قد بلغت منتهى الصياغة. فضمن ك</w:t>
      </w:r>
      <w:r w:rsidR="005012E2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افة </w:t>
      </w:r>
      <w:r w:rsidR="005012E2"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الإختصاصات المستلزمة للقيم</w:t>
      </w:r>
      <w:r w:rsidR="005012E2">
        <w:rPr>
          <w:rFonts w:ascii="Simplified Arabic" w:hAnsi="Simplified Arabic" w:cs="Simplified Arabic"/>
          <w:color w:val="7030A0"/>
          <w:sz w:val="32"/>
          <w:szCs w:val="32"/>
          <w:rtl/>
        </w:rPr>
        <w:t>،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لا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يمكن التنصُّل من المُساجلات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controverses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 w:rsidR="005012E2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 w:rsidR="005012E2"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</w:t>
      </w:r>
      <w:r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الحل لا</w:t>
      </w:r>
      <w:r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 w:rsidRPr="005012E2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يكمن في التخلص من القيم وطرحها إلى جانب اللامعقول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إنما </w:t>
      </w:r>
      <w:r w:rsidRPr="00A9467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lastRenderedPageBreak/>
        <w:t>في الاعتراف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بمذهب تعددية المناهج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 xml:space="preserve"> pluralisme des méthodes</w:t>
      </w:r>
      <w:r>
        <w:rPr>
          <w:rFonts w:ascii="Simplified Arabic" w:hAnsi="Simplified Arabic" w:cs="Simplified Arabic"/>
          <w:color w:val="7030A0"/>
          <w:sz w:val="28"/>
          <w:szCs w:val="28"/>
        </w:rPr>
        <w:t xml:space="preserve"> </w:t>
      </w:r>
      <w:r w:rsidRPr="00A9467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والموقع الضروري لنظرية في المحاجة</w:t>
      </w:r>
      <w:r>
        <w:rPr>
          <w:rFonts w:ascii="Simplified Arabic" w:hAnsi="Simplified Arabic" w:cs="Simplified Arabic"/>
          <w:color w:val="7030A0"/>
          <w:sz w:val="32"/>
          <w:szCs w:val="32"/>
        </w:rPr>
        <w:t>:</w:t>
      </w:r>
    </w:p>
    <w:p w:rsidR="00A94675" w:rsidRDefault="00A94675" w:rsidP="00A94675">
      <w:pPr>
        <w:bidi/>
        <w:spacing w:after="240"/>
        <w:jc w:val="left"/>
        <w:rPr>
          <w:rFonts w:ascii="Simplified Arabic" w:hAnsi="Simplified Arabic" w:cs="Simplified Arabic"/>
          <w:color w:val="7030A0"/>
          <w:sz w:val="32"/>
          <w:szCs w:val="32"/>
        </w:rPr>
      </w:pPr>
    </w:p>
    <w:p w:rsidR="00A94675" w:rsidRPr="00A94675" w:rsidRDefault="00911DF1" w:rsidP="00A94675">
      <w:pPr>
        <w:shd w:val="clear" w:color="auto" w:fill="00B0F0"/>
        <w:bidi/>
        <w:spacing w:after="240"/>
        <w:ind w:hanging="141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vertAlign w:val="superscript"/>
          <w:rtl/>
          <w:lang w:bidi="ar-DZ"/>
        </w:rPr>
      </w:pPr>
      <w:r w:rsidRPr="00A94675">
        <w:rPr>
          <w:rFonts w:ascii="Traditional Arabic" w:hAnsi="Traditional Arabic" w:cs="Traditional Arabic"/>
          <w:color w:val="000000" w:themeColor="text1"/>
          <w:sz w:val="32"/>
          <w:szCs w:val="32"/>
        </w:rPr>
        <w:t>"</w:t>
      </w:r>
      <w:r w:rsidR="0033033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وحدها نظرية في المُحاجَّة</w:t>
      </w:r>
      <w:r w:rsidRPr="00A9467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</w:t>
      </w:r>
      <w:r w:rsidR="003303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A9467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مصاغة فلسفيا ،هي ما سيسمح لنا (</w:t>
      </w:r>
      <w:r w:rsidR="0033033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...) التعرف، فيما بين البديهي و</w:t>
      </w:r>
      <w:r w:rsidRPr="00A9467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اللا-  معقول، على تواجد سبيل وسيط، الذي هو الطريق الصعب وغير المعبد للمعقول</w:t>
      </w:r>
      <w:r w:rsidRPr="00A94675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Pr="00A94675">
        <w:rPr>
          <w:rFonts w:ascii="Simplified Arabic" w:hAnsi="Simplified Arabic" w:cs="Simplified Arabic"/>
          <w:color w:val="000000" w:themeColor="text1"/>
          <w:sz w:val="24"/>
          <w:szCs w:val="24"/>
        </w:rPr>
        <w:t>du</w:t>
      </w:r>
      <w:r w:rsidRPr="00A94675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Pr="00A94675">
        <w:rPr>
          <w:rFonts w:ascii="Simplified Arabic" w:hAnsi="Simplified Arabic" w:cs="Simplified Arabic"/>
          <w:color w:val="000000" w:themeColor="text1"/>
          <w:sz w:val="24"/>
          <w:szCs w:val="24"/>
        </w:rPr>
        <w:t>raisonnable</w:t>
      </w:r>
      <w:r w:rsidRPr="00A94675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  <w:t>"</w:t>
      </w:r>
      <w:r w:rsidRPr="00A94675">
        <w:rPr>
          <w:rFonts w:ascii="Simplified Arabic" w:hAnsi="Simplified Arabic" w:cs="Simplified Arabic"/>
          <w:color w:val="000000" w:themeColor="text1"/>
          <w:sz w:val="32"/>
          <w:szCs w:val="32"/>
          <w:vertAlign w:val="superscript"/>
          <w:rtl/>
          <w:lang w:bidi="ar-DZ"/>
        </w:rPr>
        <w:t>(</w:t>
      </w:r>
      <w:r w:rsidRPr="00A94675">
        <w:rPr>
          <w:rStyle w:val="FootnoteReference"/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footnoteReference w:id="2"/>
      </w:r>
      <w:r w:rsidRPr="00A94675">
        <w:rPr>
          <w:rFonts w:ascii="Simplified Arabic" w:hAnsi="Simplified Arabic" w:cs="Simplified Arabic"/>
          <w:color w:val="000000" w:themeColor="text1"/>
          <w:sz w:val="32"/>
          <w:szCs w:val="32"/>
          <w:vertAlign w:val="superscript"/>
          <w:rtl/>
          <w:lang w:bidi="ar-DZ"/>
        </w:rPr>
        <w:t xml:space="preserve">) </w:t>
      </w:r>
    </w:p>
    <w:p w:rsidR="00A94675" w:rsidRDefault="00A94675" w:rsidP="00A94675">
      <w:pPr>
        <w:bidi/>
        <w:spacing w:after="240"/>
        <w:ind w:hanging="141"/>
        <w:rPr>
          <w:rFonts w:ascii="Simplified Arabic" w:hAnsi="Simplified Arabic" w:cs="Simplified Arabic"/>
          <w:color w:val="7030A0"/>
          <w:sz w:val="32"/>
          <w:szCs w:val="32"/>
          <w:vertAlign w:val="superscript"/>
          <w:rtl/>
          <w:lang w:bidi="ar-DZ"/>
        </w:rPr>
      </w:pPr>
    </w:p>
    <w:p w:rsidR="00911DF1" w:rsidRDefault="00911DF1" w:rsidP="00A94675">
      <w:pPr>
        <w:bidi/>
        <w:spacing w:after="240"/>
        <w:ind w:hanging="141"/>
        <w:rPr>
          <w:rFonts w:ascii="Simplified Arabic" w:hAnsi="Simplified Arabic" w:cs="Simplified Arabic"/>
          <w:color w:val="7030A0"/>
          <w:sz w:val="32"/>
          <w:szCs w:val="32"/>
          <w:lang w:bidi="ar-DZ"/>
        </w:rPr>
      </w:pPr>
      <w:r>
        <w:rPr>
          <w:rFonts w:ascii="Simplified Arabic" w:hAnsi="Simplified Arabic" w:cs="Simplified Arabic"/>
          <w:color w:val="7030A0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لكن، فيم تتمثل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نظرية المُحاجَّة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هته بالضبط؟</w:t>
      </w:r>
    </w:p>
    <w:p w:rsidR="00911DF1" w:rsidRDefault="00911DF1" w:rsidP="00A94675">
      <w:pPr>
        <w:bidi/>
        <w:spacing w:after="240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تعريف البلاغيات</w:t>
      </w:r>
      <w:r w:rsidR="00A94675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:</w:t>
      </w:r>
    </w:p>
    <w:p w:rsidR="00A94675" w:rsidRDefault="00A94675" w:rsidP="00A94675">
      <w:pPr>
        <w:bidi/>
        <w:spacing w:after="240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</w:p>
    <w:p w:rsidR="00A94675" w:rsidRPr="00A94675" w:rsidRDefault="00911DF1" w:rsidP="00A94675">
      <w:pPr>
        <w:shd w:val="clear" w:color="auto" w:fill="00B0F0"/>
        <w:bidi/>
        <w:spacing w:after="240"/>
        <w:jc w:val="left"/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</w:pPr>
      <w:r w:rsidRPr="00A94675">
        <w:rPr>
          <w:rFonts w:ascii="Simplified Arabic" w:hAnsi="Simplified Arabic" w:cs="Simplified Arabic"/>
          <w:sz w:val="28"/>
          <w:szCs w:val="28"/>
          <w:rtl/>
        </w:rPr>
        <w:t>" تتخذ نظرية المحاجة لها كموضوع دراسة</w:t>
      </w:r>
      <w:r w:rsidR="00A946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675">
        <w:rPr>
          <w:rFonts w:ascii="Simplified Arabic" w:hAnsi="Simplified Arabic" w:cs="Simplified Arabic"/>
          <w:sz w:val="28"/>
          <w:szCs w:val="28"/>
          <w:rtl/>
        </w:rPr>
        <w:t xml:space="preserve"> التقنيات الخطابية المصوبة إلى إثارة أو توسيع نطاق إذعانية الأنفس للأُطروحات التي تقدم لتصديقاتهم.</w:t>
      </w:r>
      <w:r w:rsidRPr="00A94675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A94675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A94675">
        <w:rPr>
          <w:rStyle w:val="FootnoteReference"/>
          <w:rFonts w:ascii="Simplified Arabic" w:hAnsi="Simplified Arabic" w:cs="Simplified Arabic"/>
          <w:sz w:val="32"/>
          <w:szCs w:val="32"/>
          <w:rtl/>
        </w:rPr>
        <w:footnoteReference w:id="3"/>
      </w:r>
      <w:r w:rsidRPr="00A94675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)</w:t>
      </w:r>
    </w:p>
    <w:p w:rsidR="00911DF1" w:rsidRDefault="00911DF1" w:rsidP="00911DF1">
      <w:pPr>
        <w:bidi/>
        <w:spacing w:after="240"/>
        <w:ind w:left="1"/>
        <w:rPr>
          <w:rFonts w:ascii="Simplified Arabic" w:hAnsi="Simplified Arabic" w:cs="Simplified Arabic"/>
          <w:color w:val="7030A0"/>
          <w:sz w:val="32"/>
          <w:szCs w:val="32"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إن هذا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التعريف</w:t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footnoteReference w:customMarkFollows="1" w:id="4"/>
        <w:sym w:font="Symbol" w:char="002A"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للبلاغيات الجديدة </w:t>
      </w:r>
      <w:r w:rsidR="00A94675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الذي باد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ر</w:t>
      </w:r>
      <w:r w:rsidR="00A94675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 w:rsidR="00A94675">
        <w:rPr>
          <w:rFonts w:ascii="Simplified Arabic" w:hAnsi="Simplified Arabic" w:cs="Simplified Arabic"/>
          <w:color w:val="7030A0"/>
          <w:sz w:val="32"/>
          <w:szCs w:val="32"/>
          <w:rtl/>
        </w:rPr>
        <w:t>به ( شايم بيرلمان و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لوسي ألبرخت تيتكا ) يقرِّ</w:t>
      </w:r>
      <w:r w:rsidR="00A94675">
        <w:rPr>
          <w:rFonts w:ascii="Simplified Arabic" w:hAnsi="Simplified Arabic" w:cs="Simplified Arabic"/>
          <w:color w:val="7030A0"/>
          <w:sz w:val="32"/>
          <w:szCs w:val="32"/>
          <w:rtl/>
        </w:rPr>
        <w:t>ب هذا الاختصاص الجديد من بلاغ</w:t>
      </w:r>
      <w:r w:rsidR="00A94675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القدامى: لنشاهد فيما يكونا متشابهين وفيم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يختلفان</w:t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footnoteReference w:customMarkFollows="1" w:id="5"/>
        <w:sym w:font="Symbol" w:char="002A"/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sym w:font="Symbol" w:char="002A"/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وسنقوم في آن واحد بتسليط الضوء على مرمى هذا التعريف.</w:t>
      </w:r>
    </w:p>
    <w:p w:rsidR="00911DF1" w:rsidRDefault="00911DF1" w:rsidP="00CC49A5">
      <w:pPr>
        <w:bidi/>
        <w:spacing w:after="240"/>
        <w:ind w:left="1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lastRenderedPageBreak/>
        <w:t xml:space="preserve">إلى جانب </w:t>
      </w:r>
      <w:r w:rsidRPr="00A9467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الأدلة البرهانية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كان (أرسطو) يقول بوجود </w:t>
      </w:r>
      <w:r w:rsidRPr="00A9467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الأدلة الجدليَّة</w:t>
      </w:r>
      <w:r w:rsidRPr="00A94675"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preuve</w:t>
      </w:r>
      <w:r w:rsidRPr="00A94675"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 w:rsidRPr="00A94675"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dialectique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 xml:space="preserve"> </w:t>
      </w:r>
      <w:r w:rsidRPr="00A94675">
        <w:rPr>
          <w:rFonts w:ascii="Simplified Arabic" w:hAnsi="Simplified Arabic" w:cs="Simplified Arabic"/>
          <w:color w:val="7030A0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  <w:rtl/>
          <w:lang w:bidi="ar-DZ"/>
        </w:rPr>
        <w:t>هذه</w:t>
      </w:r>
      <w:r w:rsidR="00A94675">
        <w:rPr>
          <w:rFonts w:ascii="Simplified Arabic" w:hAnsi="Simplified Arabic" w:cs="Simplified Arabic" w:hint="cs"/>
          <w:color w:val="7030A0"/>
          <w:sz w:val="28"/>
          <w:szCs w:val="28"/>
          <w:rtl/>
          <w:lang w:bidi="ar-DZ"/>
        </w:rPr>
        <w:t xml:space="preserve"> الأخيرة</w:t>
      </w:r>
      <w:r>
        <w:rPr>
          <w:rFonts w:ascii="Simplified Arabic" w:hAnsi="Simplified Arabic" w:cs="Simplified Arabic"/>
          <w:color w:val="7030A0"/>
          <w:sz w:val="28"/>
          <w:szCs w:val="28"/>
          <w:rtl/>
          <w:lang w:bidi="ar-DZ"/>
        </w:rPr>
        <w:t xml:space="preserve"> عادة ما لا تنصبُّ على الوجود الحقيقيِّ، إنما تقع فقط على ما يكون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  <w:t xml:space="preserve">اعتباريًّا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lang w:bidi="ar-DZ"/>
        </w:rPr>
        <w:t>le</w:t>
      </w:r>
      <w:r>
        <w:rPr>
          <w:rFonts w:ascii="Simplified Arabic" w:hAnsi="Simplified Arabic" w:cs="Simplified Arabic"/>
          <w:color w:val="7030A0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lang w:bidi="ar-DZ"/>
        </w:rPr>
        <w:t>vraisemblable</w:t>
      </w:r>
      <w:r>
        <w:rPr>
          <w:rFonts w:ascii="Simplified Arabic" w:hAnsi="Simplified Arabic" w:cs="Simplified Arabic"/>
          <w:color w:val="7030A0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  <w:lang w:bidi="ar-DZ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 xml:space="preserve">إنها مجموعة من الأدلة التي درسها في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DZ"/>
        </w:rPr>
        <w:t xml:space="preserve">كتاب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  <w:t>الموْضعيَّات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lang w:bidi="ar-DZ"/>
        </w:rPr>
        <w:t>Topiques</w:t>
      </w:r>
      <w:r>
        <w:rPr>
          <w:rFonts w:ascii="Simplified Arabic" w:hAnsi="Simplified Arabic" w:cs="Simplified Arabic"/>
          <w:color w:val="7030A0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ثمَّ طبَّقها في 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كتاب البلاغيَّات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Rhétorique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. ربَّما قد أمكن لنظرية المُحاجَّة أن تسمى جدليَّات</w:t>
      </w:r>
    </w:p>
    <w:p w:rsidR="00911DF1" w:rsidRDefault="00911DF1" w:rsidP="00CC49A5">
      <w:pPr>
        <w:bidi/>
        <w:spacing w:after="240"/>
        <w:ind w:left="1"/>
        <w:jc w:val="left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>dialectique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بدلا من البلاغيَّات </w:t>
      </w:r>
      <w:r>
        <w:rPr>
          <w:rFonts w:ascii="Simplified Arabic" w:hAnsi="Simplified Arabic" w:cs="Simplified Arabic"/>
          <w:color w:val="7030A0"/>
          <w:sz w:val="32"/>
          <w:szCs w:val="32"/>
        </w:rPr>
        <w:t>!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  <w:lang w:bidi="ar-DZ"/>
        </w:rPr>
        <w:t>لكن، منذ (هيغل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  <w:lang w:bidi="ar-DZ"/>
        </w:rPr>
        <w:noBreakHyphen/>
      </w:r>
      <w:r>
        <w:rPr>
          <w:rFonts w:ascii="Simplified Arabic" w:hAnsi="Simplified Arabic" w:cs="Simplified Arabic"/>
          <w:color w:val="7030A0"/>
          <w:sz w:val="32"/>
          <w:szCs w:val="32"/>
          <w:lang w:bidi="ar-DZ"/>
        </w:rPr>
        <w:t xml:space="preserve">Hegel 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>) و(ماركس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noBreakHyphen/>
      </w:r>
      <w:r>
        <w:rPr>
          <w:rFonts w:ascii="Simplified Arabic" w:hAnsi="Simplified Arabic" w:cs="Simplified Arabic"/>
          <w:color w:val="7030A0"/>
          <w:sz w:val="32"/>
          <w:szCs w:val="32"/>
          <w:lang w:bidi="ar-DZ"/>
        </w:rPr>
        <w:t xml:space="preserve">Marx 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 xml:space="preserve">)؛ غيَّرت كلمة (ديالكتيك) من دلالتها في الخطاب الفلسفي المعاصر، في حين أخذ مصطلح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  <w:t xml:space="preserve">(الرّيِطوريقــــــــــا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lang w:bidi="ar-DZ"/>
        </w:rPr>
        <w:t>rhetoriké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)</w:t>
      </w:r>
      <w:r w:rsidR="00CC49A5"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 xml:space="preserve"> يلفُّه النِّسيان و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>الإهمال </w:t>
      </w:r>
      <w:r>
        <w:rPr>
          <w:rFonts w:ascii="Simplified Arabic" w:hAnsi="Simplified Arabic" w:cs="Simplified Arabic"/>
          <w:color w:val="7030A0"/>
          <w:sz w:val="32"/>
          <w:szCs w:val="32"/>
          <w:lang w:bidi="ar-DZ"/>
        </w:rPr>
        <w:t>!!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  <w:lang w:bidi="ar-DZ"/>
        </w:rPr>
        <w:t>لذلك أصبح من المهم جدًّا بعث الحياة فيه من جديد.</w:t>
      </w:r>
      <w:r>
        <w:rPr>
          <w:rFonts w:ascii="Simplified Arabic" w:hAnsi="Simplified Arabic" w:cs="Simplified Arabic"/>
          <w:color w:val="7030A0"/>
          <w:sz w:val="32"/>
          <w:szCs w:val="32"/>
          <w:lang w:bidi="ar-DZ"/>
        </w:rPr>
        <w:t xml:space="preserve"> </w:t>
      </w:r>
      <w:r w:rsidR="00CC49A5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</w:rPr>
        <w:t xml:space="preserve"> </w:t>
      </w:r>
      <w:r w:rsidR="00CC49A5" w:rsidRPr="00CC49A5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</w:rPr>
        <w:t>فا</w:t>
      </w:r>
      <w:r w:rsidRPr="00CC49A5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  <w:t>لبلاغيات العتيقة</w:t>
      </w:r>
      <w:r w:rsidRPr="00CC49A5">
        <w:rPr>
          <w:rStyle w:val="FootnoteReference"/>
          <w:rFonts w:ascii="Simplified Arabic" w:hAnsi="Simplified Arabic" w:cs="Simplified Arabic"/>
          <w:color w:val="00B050"/>
          <w:sz w:val="40"/>
          <w:szCs w:val="40"/>
        </w:rPr>
        <w:footnoteReference w:customMarkFollows="1" w:id="6"/>
        <w:sym w:font="Symbol" w:char="002A"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؛ هي </w:t>
      </w:r>
      <w:r w:rsidRPr="00CC49A5">
        <w:rPr>
          <w:rFonts w:ascii="Simplified Arabic" w:hAnsi="Simplified Arabic" w:cs="Simplified Arabic"/>
          <w:color w:val="00B050"/>
          <w:sz w:val="32"/>
          <w:szCs w:val="32"/>
          <w:rtl/>
        </w:rPr>
        <w:t>دراسة التقنيات الهادفة إلى الإفحام بواسطة الخطاب</w:t>
      </w:r>
      <w:r w:rsidRPr="00CC49A5">
        <w:rPr>
          <w:rFonts w:ascii="Simplified Arabic" w:hAnsi="Simplified Arabic" w:cs="Simplified Arabic"/>
          <w:color w:val="00B050"/>
          <w:sz w:val="32"/>
          <w:szCs w:val="32"/>
        </w:rPr>
        <w:t xml:space="preserve"> </w:t>
      </w:r>
      <w:r w:rsidRPr="00CC49A5">
        <w:rPr>
          <w:rFonts w:ascii="Simplified Arabic" w:hAnsi="Simplified Arabic" w:cs="Simplified Arabic"/>
          <w:color w:val="00B050"/>
          <w:sz w:val="28"/>
          <w:szCs w:val="28"/>
        </w:rPr>
        <w:t>persuader</w:t>
      </w:r>
      <w:r w:rsidRPr="00CC49A5">
        <w:rPr>
          <w:rFonts w:ascii="Simplified Arabic" w:hAnsi="Simplified Arabic" w:cs="Simplified Arabic"/>
          <w:color w:val="00B050"/>
          <w:sz w:val="32"/>
          <w:szCs w:val="32"/>
        </w:rPr>
        <w:t xml:space="preserve"> </w:t>
      </w:r>
      <w:r w:rsidRPr="00CC49A5">
        <w:rPr>
          <w:rFonts w:ascii="Simplified Arabic" w:hAnsi="Simplified Arabic" w:cs="Simplified Arabic"/>
          <w:color w:val="00B050"/>
          <w:sz w:val="28"/>
          <w:szCs w:val="28"/>
        </w:rPr>
        <w:t>par</w:t>
      </w:r>
      <w:r w:rsidR="00CC49A5" w:rsidRPr="00CC49A5">
        <w:rPr>
          <w:rFonts w:ascii="Simplified Arabic" w:hAnsi="Simplified Arabic" w:cs="Simplified Arabic"/>
          <w:color w:val="00B050"/>
          <w:sz w:val="28"/>
          <w:szCs w:val="28"/>
        </w:rPr>
        <w:t xml:space="preserve"> le discours     </w:t>
      </w:r>
      <w:r w:rsidR="00CC49A5" w:rsidRPr="00CC49A5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C49A5">
        <w:rPr>
          <w:rFonts w:ascii="Simplified Arabic" w:hAnsi="Simplified Arabic" w:cs="Simplified Arabic" w:hint="cs"/>
          <w:color w:val="00B050"/>
          <w:sz w:val="32"/>
          <w:szCs w:val="32"/>
          <w:rtl/>
        </w:rPr>
        <w:t>ل</w:t>
      </w:r>
      <w:r w:rsidRPr="00CC49A5">
        <w:rPr>
          <w:rFonts w:ascii="Simplified Arabic" w:hAnsi="Simplified Arabic" w:cs="Simplified Arabic"/>
          <w:color w:val="00B050"/>
          <w:sz w:val="32"/>
          <w:szCs w:val="32"/>
          <w:rtl/>
          <w:lang w:bidi="ar-DZ"/>
        </w:rPr>
        <w:t>ل</w:t>
      </w:r>
      <w:r w:rsidRPr="00CC49A5">
        <w:rPr>
          <w:rFonts w:ascii="Simplified Arabic" w:hAnsi="Simplified Arabic" w:cs="Simplified Arabic"/>
          <w:color w:val="00B050"/>
          <w:sz w:val="32"/>
          <w:szCs w:val="32"/>
          <w:rtl/>
        </w:rPr>
        <w:t>بلاغيات الجديدة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الطموح نفسه، لكنها تطلب تحقيقه بطريقة أصيلة</w:t>
      </w:r>
      <w:r w:rsidR="00CC49A5">
        <w:rPr>
          <w:rFonts w:ascii="Simplified Arabic" w:hAnsi="Simplified Arabic" w:cs="Simplified Arabic" w:hint="cs"/>
          <w:color w:val="7030A0"/>
          <w:sz w:val="32"/>
          <w:szCs w:val="32"/>
          <w:rtl/>
        </w:rPr>
        <w:t>-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جديدة 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originale</w:t>
      </w:r>
      <w:r w:rsidR="00CC49A5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 </w:t>
      </w:r>
    </w:p>
    <w:p w:rsidR="00911DF1" w:rsidRDefault="00911DF1" w:rsidP="00911DF1">
      <w:pPr>
        <w:bidi/>
        <w:spacing w:after="240"/>
        <w:ind w:left="1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عند تفضيلها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وجهة النظر المنطقية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أخذت </w:t>
      </w:r>
      <w:r w:rsidRPr="00CC49A5">
        <w:rPr>
          <w:rFonts w:ascii="Simplified Arabic" w:hAnsi="Simplified Arabic" w:cs="Simplified Arabic"/>
          <w:color w:val="00B050"/>
          <w:sz w:val="32"/>
          <w:szCs w:val="32"/>
          <w:rtl/>
        </w:rPr>
        <w:t>البلاغيات الجديدة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تركز على المحاجَّة من غير أن تهتم بجهة تعبيرية هذا الحجاج أو ذاك، وهذا، بعكس </w:t>
      </w:r>
      <w:r w:rsidRPr="00CC49A5">
        <w:rPr>
          <w:rFonts w:ascii="Simplified Arabic" w:hAnsi="Simplified Arabic" w:cs="Simplified Arabic"/>
          <w:color w:val="00B050"/>
          <w:sz w:val="32"/>
          <w:szCs w:val="32"/>
          <w:rtl/>
        </w:rPr>
        <w:t>البلاغيات العتيقة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فهي لا تتوقف إذن عند الخطابات ا</w:t>
      </w:r>
      <w:r w:rsidR="00CC49A5">
        <w:rPr>
          <w:rFonts w:ascii="Simplified Arabic" w:hAnsi="Simplified Arabic" w:cs="Simplified Arabic"/>
          <w:color w:val="7030A0"/>
          <w:sz w:val="32"/>
          <w:szCs w:val="32"/>
          <w:rtl/>
        </w:rPr>
        <w:t>لمنطوقة شفويا، وتبعا لذلك الخطب الشفوية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</w:t>
      </w:r>
      <w:r w:rsidR="00CC49A5"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إنها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لا تعير اهتماما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بــــــ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mnémotechnique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الخطبة الشفوية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 w:rsidR="00CC49A5">
        <w:rPr>
          <w:rFonts w:ascii="Simplified Arabic" w:hAnsi="Simplified Arabic" w:cs="Simplified Arabic"/>
          <w:color w:val="7030A0"/>
          <w:sz w:val="32"/>
          <w:szCs w:val="32"/>
          <w:rtl/>
        </w:rPr>
        <w:t>و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الفعل الخطابي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l'action oratoire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هذان اللَّذان يفتقران كليا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للوجاهة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pertinence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عندما يكون الخطاب مكتوبا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</w:p>
    <w:p w:rsidR="00911DF1" w:rsidRDefault="00911DF1" w:rsidP="00911DF1">
      <w:pPr>
        <w:bidi/>
        <w:spacing w:after="240"/>
        <w:ind w:left="1"/>
        <w:rPr>
          <w:rFonts w:ascii="Simplified Arabic" w:hAnsi="Simplified Arabic" w:cs="Simplified Arabic"/>
          <w:color w:val="7030A0"/>
          <w:sz w:val="28"/>
          <w:szCs w:val="28"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lastRenderedPageBreak/>
        <w:t xml:space="preserve"> من جانب آخر، إن الخطابات المدروسة بواسطة </w:t>
      </w:r>
      <w:r w:rsidRPr="00CC49A5">
        <w:rPr>
          <w:rFonts w:ascii="Simplified Arabic" w:hAnsi="Simplified Arabic" w:cs="Simplified Arabic"/>
          <w:color w:val="00B050"/>
          <w:sz w:val="32"/>
          <w:szCs w:val="32"/>
          <w:rtl/>
        </w:rPr>
        <w:t>البلاغيات العتيقة</w:t>
      </w:r>
      <w:r w:rsidR="00CC49A5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إنما كانت تتوجه إلى جمهور</w:t>
      </w:r>
      <w:r w:rsidR="00CC49A5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شعبي</w:t>
      </w:r>
      <w:r w:rsidR="00CC49A5"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foule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في السَّاحة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العمومية 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l'Agora</w:t>
      </w:r>
    </w:p>
    <w:p w:rsidR="00911DF1" w:rsidRPr="004E3A9A" w:rsidRDefault="00911DF1" w:rsidP="00911DF1">
      <w:pPr>
        <w:bidi/>
        <w:spacing w:after="240"/>
        <w:ind w:left="1" w:firstLine="707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أما </w:t>
      </w:r>
      <w:r w:rsidRPr="004E3A9A">
        <w:rPr>
          <w:rFonts w:ascii="Simplified Arabic" w:hAnsi="Simplified Arabic" w:cs="Simplified Arabic"/>
          <w:color w:val="00B050"/>
          <w:sz w:val="32"/>
          <w:szCs w:val="32"/>
          <w:rtl/>
        </w:rPr>
        <w:t>البلاغيات الجديدة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خلافا لذلك، تلتفت باهتمامها نحو </w:t>
      </w:r>
      <w:r w:rsidRPr="004E3A9A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كافة أنماط الخطاب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. حتى أننا سنتذكر أن حادثة دراسة خطابات موجهة لجمهور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public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من العوَّام الجُهَّل، يكون قد ساهم في الحطِّ من شأن البلاغيات لدى الفلاسفة مثل 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>(</w:t>
      </w:r>
      <w:r>
        <w:rPr>
          <w:rFonts w:ascii="Simplified Arabic" w:hAnsi="Simplified Arabic" w:cs="Simplified Arabic"/>
          <w:color w:val="7030A0"/>
          <w:sz w:val="28"/>
          <w:szCs w:val="28"/>
        </w:rPr>
        <w:t xml:space="preserve"> Platon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>)؛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لكن إذا أخذنا بعين الاعتبار باقي أنماط الجمهور المتلقِّي للخطاب </w:t>
      </w:r>
      <w:r>
        <w:rPr>
          <w:rFonts w:ascii="Simplified Arabic" w:hAnsi="Simplified Arabic" w:cs="Simplified Arabic"/>
          <w:color w:val="7030A0"/>
          <w:sz w:val="28"/>
          <w:szCs w:val="28"/>
        </w:rPr>
        <w:t>auditoire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؛ </w:t>
      </w:r>
      <w:r w:rsidRPr="004E3A9A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أمكن للبلاغيات الجديدة استعادة هيبتها أمام الفلاسفة</w:t>
      </w:r>
      <w:r w:rsidRPr="004E3A9A">
        <w:rPr>
          <w:rFonts w:ascii="Simplified Arabic" w:hAnsi="Simplified Arabic" w:cs="Simplified Arabic"/>
          <w:b/>
          <w:bCs/>
          <w:color w:val="00B050"/>
          <w:sz w:val="32"/>
          <w:szCs w:val="32"/>
        </w:rPr>
        <w:t>.</w:t>
      </w:r>
    </w:p>
    <w:p w:rsidR="00911DF1" w:rsidRDefault="00911DF1" w:rsidP="00911DF1">
      <w:pPr>
        <w:bidi/>
        <w:spacing w:after="240"/>
        <w:ind w:left="1" w:firstLine="707"/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تسمح لنا هذه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المقارنة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فيما بين </w:t>
      </w:r>
      <w:r w:rsidRPr="004E3A9A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البلاغيات العتيقة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و </w:t>
      </w:r>
      <w:r w:rsidRPr="004E3A9A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البلاغيات الجديدة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؛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بفهمٍ أفضل لجانب من تعريف البلاغيات المتعلق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بإذعانية الأنفس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 xml:space="preserve">L’adhésion des esprits </w:t>
      </w:r>
    </w:p>
    <w:p w:rsidR="004E3A9A" w:rsidRDefault="00911DF1" w:rsidP="00911DF1">
      <w:pPr>
        <w:bidi/>
        <w:spacing w:after="240"/>
        <w:ind w:left="1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 xml:space="preserve"> </w:t>
      </w:r>
      <w:r w:rsidR="004E3A9A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لكن </w:t>
      </w:r>
      <w:r w:rsidR="004E3A9A" w:rsidRPr="004E3A9A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التعريف </w:t>
      </w:r>
      <w:r w:rsidR="004E3A9A" w:rsidRPr="004E3A9A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أعلاه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يُظهر أيضا أن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نظرية المُحَاجَّةِ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تدرس </w:t>
      </w:r>
      <w:r w:rsidRPr="004E3A9A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التقنيات الخطابية</w:t>
      </w:r>
      <w:r w:rsidRPr="004E3A9A">
        <w:rPr>
          <w:rFonts w:ascii="Simplified Arabic" w:hAnsi="Simplified Arabic" w:cs="Simplified Arabic"/>
          <w:b/>
          <w:bCs/>
          <w:color w:val="00B050"/>
          <w:sz w:val="28"/>
          <w:szCs w:val="28"/>
        </w:rPr>
        <w:t>techniques</w:t>
      </w:r>
      <w:r w:rsidRPr="004E3A9A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4E3A9A">
        <w:rPr>
          <w:rFonts w:ascii="Simplified Arabic" w:hAnsi="Simplified Arabic" w:cs="Simplified Arabic"/>
          <w:b/>
          <w:bCs/>
          <w:color w:val="00B050"/>
          <w:sz w:val="28"/>
          <w:szCs w:val="28"/>
        </w:rPr>
        <w:t>discursives</w:t>
      </w:r>
      <w:r w:rsidRPr="004E3A9A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 ما يعني أنه</w:t>
      </w:r>
      <w:r w:rsidR="004E3A9A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،</w:t>
      </w:r>
    </w:p>
    <w:p w:rsidR="004E3A9A" w:rsidRDefault="004E3A9A" w:rsidP="004E3A9A">
      <w:pPr>
        <w:bidi/>
        <w:spacing w:after="240"/>
        <w:ind w:left="1"/>
        <w:rPr>
          <w:rFonts w:ascii="Simplified Arabic" w:hAnsi="Simplified Arabic" w:cs="Simplified Arabic"/>
          <w:color w:val="7030A0"/>
          <w:sz w:val="32"/>
          <w:szCs w:val="32"/>
          <w:rtl/>
        </w:rPr>
      </w:pPr>
    </w:p>
    <w:p w:rsidR="00911DF1" w:rsidRPr="004E3A9A" w:rsidRDefault="00911DF1" w:rsidP="004E3A9A">
      <w:pPr>
        <w:shd w:val="clear" w:color="auto" w:fill="00B050"/>
        <w:bidi/>
        <w:spacing w:after="240"/>
        <w:ind w:left="1"/>
        <w:rPr>
          <w:rFonts w:ascii="Simplified Arabic" w:hAnsi="Simplified Arabic" w:cs="Simplified Arabic"/>
          <w:color w:val="000000" w:themeColor="text1"/>
          <w:sz w:val="32"/>
          <w:szCs w:val="32"/>
          <w:vertAlign w:val="superscript"/>
          <w:rtl/>
        </w:rPr>
      </w:pPr>
      <w:r w:rsidRPr="004E3A9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Pr="004E3A9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"وحدها التقنية التي تستعمل </w:t>
      </w:r>
      <w:r w:rsidRPr="004E3A9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اللُّغة</w:t>
      </w:r>
      <w:r w:rsidR="00AF5D9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لأجل الإفحام  و</w:t>
      </w:r>
      <w:r w:rsidRPr="004E3A9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لأجل الإقناع سيجرى تفحصها".</w:t>
      </w:r>
      <w:r w:rsidRPr="004E3A9A">
        <w:rPr>
          <w:rFonts w:ascii="Simplified Arabic" w:hAnsi="Simplified Arabic" w:cs="Simplified Arabic"/>
          <w:color w:val="000000" w:themeColor="text1"/>
          <w:sz w:val="32"/>
          <w:szCs w:val="32"/>
          <w:vertAlign w:val="superscript"/>
          <w:rtl/>
        </w:rPr>
        <w:t>(</w:t>
      </w:r>
      <w:r w:rsidRPr="004E3A9A">
        <w:rPr>
          <w:rStyle w:val="FootnoteReference"/>
          <w:rFonts w:ascii="Simplified Arabic" w:hAnsi="Simplified Arabic" w:cs="Simplified Arabic"/>
          <w:color w:val="000000" w:themeColor="text1"/>
          <w:sz w:val="32"/>
          <w:szCs w:val="32"/>
        </w:rPr>
        <w:footnoteReference w:id="7"/>
      </w:r>
      <w:r w:rsidRPr="004E3A9A">
        <w:rPr>
          <w:rFonts w:ascii="Simplified Arabic" w:hAnsi="Simplified Arabic" w:cs="Simplified Arabic"/>
          <w:color w:val="000000" w:themeColor="text1"/>
          <w:sz w:val="32"/>
          <w:szCs w:val="32"/>
          <w:vertAlign w:val="superscript"/>
          <w:rtl/>
        </w:rPr>
        <w:t>)</w:t>
      </w:r>
    </w:p>
    <w:p w:rsidR="004E3A9A" w:rsidRDefault="004E3A9A" w:rsidP="004E3A9A">
      <w:pPr>
        <w:bidi/>
        <w:spacing w:after="240"/>
        <w:ind w:left="1"/>
        <w:rPr>
          <w:rFonts w:ascii="Simplified Arabic" w:hAnsi="Simplified Arabic" w:cs="Simplified Arabic"/>
          <w:color w:val="7030A0"/>
          <w:sz w:val="28"/>
          <w:szCs w:val="28"/>
          <w:rtl/>
        </w:rPr>
      </w:pPr>
    </w:p>
    <w:p w:rsidR="00911DF1" w:rsidRDefault="00911DF1" w:rsidP="00AF5D97">
      <w:pPr>
        <w:bidi/>
        <w:spacing w:after="240"/>
        <w:ind w:left="1" w:firstLine="707"/>
        <w:jc w:val="left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إن </w:t>
      </w:r>
      <w:r w:rsidRPr="004E3A9A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هذا الحصر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لا يستلزم قطُّ أنه لن يكون في استطاعتنا التأثير في الأنفس بواسطة أدوات أخرى. لكن، </w:t>
      </w:r>
      <w:r w:rsidRPr="004E3A9A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نظرية المُحاجَّة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كما يعرضها (بيرلمان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noBreakHyphen/>
        <w:t xml:space="preserve"> تيتكا)، لا تهتم </w:t>
      </w:r>
      <w:r w:rsidR="004E3A9A">
        <w:rPr>
          <w:rFonts w:ascii="Simplified Arabic" w:hAnsi="Simplified Arabic" w:cs="Simplified Arabic"/>
          <w:color w:val="7030A0"/>
          <w:sz w:val="32"/>
          <w:szCs w:val="32"/>
          <w:rtl/>
        </w:rPr>
        <w:t>بالتجربة الخارجية أو الداخلية و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لا بالاذعانية الحاصلة عن الفعل وحده (الدعوة بواسطة ضرب المث</w:t>
      </w:r>
      <w:r w:rsidR="004E3A9A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ا</w:t>
      </w:r>
      <w:r w:rsidR="004E3A9A">
        <w:rPr>
          <w:rFonts w:ascii="Simplified Arabic" w:hAnsi="Simplified Arabic" w:cs="Simplified Arabic"/>
          <w:color w:val="7030A0"/>
          <w:sz w:val="32"/>
          <w:szCs w:val="32"/>
          <w:rtl/>
        </w:rPr>
        <w:t>ل، الت</w:t>
      </w:r>
      <w:r w:rsidR="00AF5D97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َّ</w:t>
      </w:r>
      <w:r w:rsidR="004E3A9A">
        <w:rPr>
          <w:rFonts w:ascii="Simplified Arabic" w:hAnsi="Simplified Arabic" w:cs="Simplified Arabic"/>
          <w:color w:val="7030A0"/>
          <w:sz w:val="32"/>
          <w:szCs w:val="32"/>
          <w:rtl/>
        </w:rPr>
        <w:t>ر</w:t>
      </w:r>
      <w:r w:rsidR="00AF5D97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ْ</w:t>
      </w:r>
      <w:r w:rsidR="004E3A9A">
        <w:rPr>
          <w:rFonts w:ascii="Simplified Arabic" w:hAnsi="Simplified Arabic" w:cs="Simplified Arabic"/>
          <w:color w:val="7030A0"/>
          <w:sz w:val="32"/>
          <w:szCs w:val="32"/>
          <w:rtl/>
        </w:rPr>
        <w:t>ب</w:t>
      </w:r>
      <w:r w:rsidR="00AF5D97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ٍ</w:t>
      </w:r>
      <w:r w:rsidR="004E3A9A">
        <w:rPr>
          <w:rFonts w:ascii="Simplified Arabic" w:hAnsi="Simplified Arabic" w:cs="Simplified Arabic"/>
          <w:color w:val="7030A0"/>
          <w:sz w:val="32"/>
          <w:szCs w:val="32"/>
          <w:rtl/>
        </w:rPr>
        <w:t>يت</w:t>
      </w:r>
      <w:r w:rsidR="00AF5D97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ُ</w:t>
      </w:r>
      <w:r w:rsidR="004E3A9A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 w:rsidR="004E3A9A">
        <w:rPr>
          <w:rFonts w:ascii="Simplified Arabic" w:hAnsi="Simplified Arabic" w:cs="Simplified Arabic"/>
          <w:color w:val="7030A0"/>
          <w:sz w:val="32"/>
          <w:szCs w:val="32"/>
          <w:rtl/>
        </w:rPr>
        <w:t>على الكتف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</w:t>
      </w:r>
      <w:r w:rsidR="004E3A9A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خدش المشاعر...) ولا بتقنيات الإشراط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 xml:space="preserve">technique de </w:t>
      </w:r>
      <w:r>
        <w:rPr>
          <w:rFonts w:ascii="Simplified Arabic" w:hAnsi="Simplified Arabic" w:cs="Simplified Arabic"/>
          <w:color w:val="7030A0"/>
          <w:sz w:val="28"/>
          <w:szCs w:val="28"/>
        </w:rPr>
        <w:lastRenderedPageBreak/>
        <w:t xml:space="preserve">conditionnement 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غير اللساني الَّذي تتعاطاه مثلا؛ الد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>ِّ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عَايَةُ. ولا</w:t>
      </w:r>
      <w:r w:rsidR="004E3A9A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حتى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ما كان (أرسطو) يدعوه </w:t>
      </w:r>
      <w:r w:rsidRPr="004E3A9A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بالأدلة من خارج التقنيات</w:t>
      </w:r>
      <w:r w:rsidRPr="004E3A9A">
        <w:rPr>
          <w:rStyle w:val="FootnoteReference"/>
          <w:rFonts w:ascii="Simplified Arabic" w:hAnsi="Simplified Arabic" w:cs="Simplified Arabic"/>
          <w:b/>
          <w:bCs/>
          <w:color w:val="7030A0"/>
          <w:sz w:val="40"/>
          <w:szCs w:val="40"/>
        </w:rPr>
        <w:footnoteReference w:customMarkFollows="1" w:id="8"/>
        <w:sym w:font="Symbol" w:char="002A"/>
      </w:r>
      <w:r w:rsidRPr="004E3A9A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 </w:t>
      </w:r>
      <w:r w:rsidRPr="004E3A9A"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 w:rsidRPr="004E3A9A"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preuves extra techniques</w:t>
      </w:r>
      <w:r w:rsidR="004E3A9A">
        <w:rPr>
          <w:rFonts w:ascii="Simplified Arabic" w:hAnsi="Simplified Arabic" w:cs="Simplified Arabic"/>
          <w:color w:val="7030A0"/>
          <w:sz w:val="32"/>
          <w:szCs w:val="32"/>
          <w:rtl/>
        </w:rPr>
        <w:t>بكل اختصار</w:t>
      </w:r>
      <w:r w:rsidR="004E3A9A">
        <w:rPr>
          <w:rFonts w:ascii="Simplified Arabic" w:hAnsi="Simplified Arabic" w:cs="Simplified Arabic" w:hint="cs"/>
          <w:color w:val="7030A0"/>
          <w:sz w:val="32"/>
          <w:szCs w:val="32"/>
          <w:rtl/>
        </w:rPr>
        <w:t>.</w:t>
      </w:r>
    </w:p>
    <w:p w:rsidR="00D9374A" w:rsidRDefault="00D9374A" w:rsidP="00D9374A">
      <w:pPr>
        <w:bidi/>
        <w:spacing w:after="240"/>
        <w:ind w:left="1" w:firstLine="707"/>
        <w:rPr>
          <w:rFonts w:ascii="Simplified Arabic" w:hAnsi="Simplified Arabic" w:cs="Simplified Arabic"/>
          <w:color w:val="7030A0"/>
          <w:sz w:val="32"/>
          <w:szCs w:val="32"/>
          <w:rtl/>
        </w:rPr>
      </w:pPr>
    </w:p>
    <w:p w:rsidR="007E7E06" w:rsidRDefault="00911DF1" w:rsidP="006C5A6A">
      <w:pPr>
        <w:bidi/>
        <w:spacing w:after="240"/>
        <w:ind w:left="1"/>
        <w:jc w:val="center"/>
        <w:rPr>
          <w:rFonts w:ascii="Simplified Arabic" w:hAnsi="Simplified Arabic" w:cs="Simplified Arabic"/>
          <w:b/>
          <w:bCs/>
          <w:sz w:val="32"/>
          <w:szCs w:val="32"/>
          <w:highlight w:val="cyan"/>
          <w:shd w:val="clear" w:color="auto" w:fill="FFFFFF" w:themeFill="background1"/>
          <w:rtl/>
        </w:rPr>
      </w:pPr>
      <w:r w:rsidRPr="00AF5D97">
        <w:rPr>
          <w:rFonts w:ascii="Simplified Arabic" w:hAnsi="Simplified Arabic" w:cs="Simplified Arabic"/>
          <w:b/>
          <w:bCs/>
          <w:sz w:val="32"/>
          <w:szCs w:val="32"/>
          <w:highlight w:val="cyan"/>
          <w:shd w:val="clear" w:color="auto" w:fill="FFFFFF" w:themeFill="background1"/>
          <w:rtl/>
        </w:rPr>
        <w:t>تدرس البلاغيات إذن أدوات-وسائل</w:t>
      </w:r>
      <w:r w:rsidRPr="00AF5D97">
        <w:rPr>
          <w:rFonts w:ascii="Simplified Arabic" w:hAnsi="Simplified Arabic" w:cs="Simplified Arabic"/>
          <w:sz w:val="32"/>
          <w:szCs w:val="32"/>
          <w:highlight w:val="cyan"/>
          <w:shd w:val="clear" w:color="auto" w:fill="FFFFFF" w:themeFill="background1"/>
          <w:rtl/>
        </w:rPr>
        <w:t xml:space="preserve"> </w:t>
      </w:r>
      <w:r w:rsidRPr="00AF5D97">
        <w:rPr>
          <w:rFonts w:ascii="Simplified Arabic" w:hAnsi="Simplified Arabic" w:cs="Simplified Arabic"/>
          <w:b/>
          <w:bCs/>
          <w:sz w:val="32"/>
          <w:szCs w:val="32"/>
          <w:highlight w:val="cyan"/>
          <w:shd w:val="clear" w:color="auto" w:fill="FFFFFF" w:themeFill="background1"/>
          <w:rtl/>
        </w:rPr>
        <w:t xml:space="preserve">الإفحام/الإقناع </w:t>
      </w:r>
      <w:r w:rsidR="006C5A6A">
        <w:rPr>
          <w:rFonts w:ascii="Simplified Arabic" w:hAnsi="Simplified Arabic" w:cs="Simplified Arabic"/>
          <w:b/>
          <w:bCs/>
          <w:sz w:val="32"/>
          <w:szCs w:val="32"/>
          <w:highlight w:val="cyan"/>
          <w:shd w:val="clear" w:color="auto" w:fill="FFFFFF" w:themeFill="background1"/>
          <w:rtl/>
        </w:rPr>
        <w:t>بواسطة اللغ</w:t>
      </w:r>
    </w:p>
    <w:p w:rsidR="006C5A6A" w:rsidRPr="006C5A6A" w:rsidRDefault="006C5A6A" w:rsidP="006C5A6A">
      <w:pPr>
        <w:bidi/>
        <w:spacing w:after="240"/>
        <w:ind w:left="1"/>
        <w:jc w:val="center"/>
        <w:rPr>
          <w:rFonts w:ascii="Simplified Arabic" w:hAnsi="Simplified Arabic" w:cs="Simplified Arabic"/>
          <w:sz w:val="32"/>
          <w:szCs w:val="32"/>
          <w:highlight w:val="cyan"/>
          <w:shd w:val="clear" w:color="auto" w:fill="FFFFFF" w:themeFill="background1"/>
          <w:rtl/>
        </w:rPr>
      </w:pPr>
    </w:p>
    <w:p w:rsidR="00911DF1" w:rsidRDefault="00911DF1" w:rsidP="00214697">
      <w:pPr>
        <w:bidi/>
        <w:spacing w:after="240"/>
        <w:ind w:left="1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لكن هل نستطيع قول نظير ذلك عن 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المنطق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؟ </w:t>
      </w:r>
    </w:p>
    <w:p w:rsidR="00911DF1" w:rsidRDefault="00911DF1" w:rsidP="00D9374A">
      <w:pPr>
        <w:bidi/>
        <w:spacing w:after="240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البلاغيات والمنطق</w:t>
      </w:r>
      <w:r w:rsidR="00D9374A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: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        </w:t>
      </w:r>
    </w:p>
    <w:p w:rsidR="00911DF1" w:rsidRDefault="00911DF1" w:rsidP="00D9374A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ليست </w:t>
      </w:r>
      <w:r w:rsidRPr="00D9374A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البلاغيات</w:t>
      </w:r>
      <w:r w:rsidR="00D9374A" w:rsidRPr="00D9374A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</w:rPr>
        <w:t xml:space="preserve"> الجديدة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، كما جئنا على تعريفها، عديمة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الترابط</w:t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footnoteReference w:customMarkFollows="1" w:id="9"/>
        <w:sym w:font="Symbol" w:char="002A"/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sym w:font="Symbol" w:char="002A"/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مع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علم النفس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فشدة الإذعانية الحاصلة بواسطة المحاجَّة تستطيع بالفعل، من حيث كونها </w:t>
      </w:r>
      <w:r w:rsidRPr="007E7E06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حالة للوعي</w:t>
      </w:r>
      <w:r w:rsidRPr="007E7E06">
        <w:rPr>
          <w:rFonts w:ascii="Simplified Arabic" w:hAnsi="Simplified Arabic" w:cs="Simplified Arabic"/>
          <w:b/>
          <w:bCs/>
          <w:color w:val="7030A0"/>
          <w:sz w:val="24"/>
          <w:szCs w:val="24"/>
        </w:rPr>
        <w:t xml:space="preserve"> état de conscience</w:t>
      </w:r>
      <w:r>
        <w:rPr>
          <w:rFonts w:ascii="Simplified Arabic" w:hAnsi="Simplified Arabic" w:cs="Simplified Arabic"/>
          <w:color w:val="7030A0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color w:val="7030A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أن تكون </w:t>
      </w:r>
      <w:r w:rsidRPr="00D9374A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موضوع دراسة لهذا الاختصاص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</w:p>
    <w:p w:rsidR="00911DF1" w:rsidRDefault="00911DF1" w:rsidP="00AA7D68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لكن، من جهة أننا نبحث كيف نتمكَّن من الطَّابع المنطقي لأدوات-وسائل الدليل السامحة ببلوغ </w:t>
      </w:r>
      <w:r w:rsidRPr="007E7E06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حالة الوعي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هذه، فإن الهدف سيختلف عن ذلك الذي لعال</w:t>
      </w:r>
      <w:r w:rsidR="00AA7D68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ِ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م النفس </w:t>
      </w:r>
      <w:r>
        <w:rPr>
          <w:rFonts w:ascii="Simplified Arabic" w:hAnsi="Simplified Arabic" w:cs="Simplified Arabic"/>
          <w:color w:val="7030A0"/>
          <w:sz w:val="24"/>
          <w:szCs w:val="24"/>
        </w:rPr>
        <w:t xml:space="preserve"> psychologue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الأكثر من ذلك</w:t>
      </w:r>
      <w:r>
        <w:rPr>
          <w:rFonts w:ascii="Simplified Arabic" w:hAnsi="Simplified Arabic" w:cs="Simplified Arabic"/>
          <w:color w:val="7030A0"/>
          <w:sz w:val="32"/>
          <w:szCs w:val="32"/>
        </w:rPr>
        <w:t>: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="00AA7D68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يكون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المسار البلاغياتي ، بمعنى ما، </w:t>
      </w:r>
      <w:r w:rsidRPr="00AA7D6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سابقا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عن الدراسة النفسانية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نعم لا شك أن علم النفس التجريبي يستطيع اختبار</w:t>
      </w:r>
      <w:r>
        <w:rPr>
          <w:rFonts w:ascii="Simplified Arabic" w:hAnsi="Simplified Arabic" w:cs="Simplified Arabic"/>
          <w:color w:val="7030A0"/>
          <w:sz w:val="24"/>
          <w:szCs w:val="24"/>
        </w:rPr>
        <w:t xml:space="preserve"> mettre à l'épreuve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محاجَّات عدة أمام أنواع من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lastRenderedPageBreak/>
        <w:t>الجماهير الخطابية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لكن قبل إخضاع هذه المحاجَّات للاختبار التَّجريبي، من المهم جدا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توصيف مختلف البنيات الحجاجية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وهذا ما تقوم</w:t>
      </w:r>
      <w:r w:rsidR="00AA7D68" w:rsidRPr="00AA7D68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="00AA7D68">
        <w:rPr>
          <w:rFonts w:ascii="Simplified Arabic" w:hAnsi="Simplified Arabic" w:cs="Simplified Arabic"/>
          <w:color w:val="7030A0"/>
          <w:sz w:val="32"/>
          <w:szCs w:val="32"/>
          <w:rtl/>
        </w:rPr>
        <w:t>البلاغيات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="00AA7D68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ل</w:t>
      </w:r>
      <w:r w:rsidR="00AA7D68">
        <w:rPr>
          <w:rFonts w:ascii="Simplified Arabic" w:hAnsi="Simplified Arabic" w:cs="Simplified Arabic"/>
          <w:color w:val="7030A0"/>
          <w:sz w:val="32"/>
          <w:szCs w:val="32"/>
          <w:rtl/>
        </w:rPr>
        <w:t>تشتغل عليه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 w:rsidR="00AA7D68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بالنسبة لها، إن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وجهة النظر المنطقية تسبق وجهة النظر النفسانية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.الأمر الذي يثير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مشكلة الترابط</w:t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footnoteReference w:customMarkFollows="1" w:id="10"/>
        <w:sym w:font="Symbol" w:char="002A"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بين المنطق والبلاغيات.</w:t>
      </w:r>
    </w:p>
    <w:p w:rsidR="00AA7D68" w:rsidRDefault="00911DF1" w:rsidP="00AA7D68">
      <w:pPr>
        <w:bidi/>
        <w:spacing w:after="240"/>
        <w:ind w:left="1" w:firstLine="708"/>
        <w:jc w:val="left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يدرس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المنطق الصوري</w:t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footnoteReference w:customMarkFollows="1" w:id="11"/>
        <w:sym w:font="Symbol" w:char="002A"/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sym w:font="Symbol" w:char="002A"/>
      </w:r>
      <w:r>
        <w:rPr>
          <w:rFonts w:ascii="Simplified Arabic" w:hAnsi="Simplified Arabic" w:cs="Simplified Arabic"/>
          <w:color w:val="7030A0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الحديث </w:t>
      </w:r>
      <w:r w:rsidRPr="00AA7D68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البرهنة</w:t>
      </w:r>
      <w:r w:rsidR="00AA7D68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أي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Pr="00AA7D68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الدليل بواسطة الحساب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إن </w:t>
      </w:r>
      <w:r w:rsidRPr="00AA7D68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المنطق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بما هو</w:t>
      </w:r>
      <w:r w:rsidR="00AA7D68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 w:rsidRPr="00AA7D68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دراسة لأدوات الدليل</w:t>
      </w:r>
      <w:r w:rsidR="00AA7D68">
        <w:rPr>
          <w:rFonts w:ascii="Simplified Arabic" w:hAnsi="Simplified Arabic" w:cs="Simplified Arabic"/>
          <w:color w:val="7030A0"/>
          <w:sz w:val="32"/>
          <w:szCs w:val="32"/>
          <w:rtl/>
        </w:rPr>
        <w:t>، يتضمن من جه</w:t>
      </w:r>
      <w:r w:rsidR="00AA7D68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Pr="00AA7D68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نظرية في الدليل البرهاني</w:t>
      </w: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ومن جهة أخرى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نظرية في استعمال</w:t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footnoteReference w:customMarkFollows="1" w:id="12"/>
        <w:sym w:font="Symbol" w:char="002A"/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sym w:font="Symbol" w:char="002A"/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sym w:font="Symbol" w:char="002A"/>
      </w:r>
      <w:r>
        <w:rPr>
          <w:rFonts w:ascii="Simplified Arabic" w:hAnsi="Simplified Arabic" w:cs="Simplified Arabic"/>
          <w:color w:val="7030A0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الحجج</w:t>
      </w:r>
      <w:r w:rsidR="00AA7D68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</w:rPr>
        <w:t>.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 xml:space="preserve"> </w:t>
      </w:r>
      <w:r w:rsidR="00AA7D68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وعليه، إن تقنية</w:t>
      </w:r>
    </w:p>
    <w:p w:rsidR="00911DF1" w:rsidRPr="00AA7D68" w:rsidRDefault="00911DF1" w:rsidP="00AA7D68">
      <w:pPr>
        <w:bidi/>
        <w:spacing w:after="240"/>
        <w:ind w:left="1" w:firstLine="708"/>
        <w:jc w:val="left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 w:rsidRPr="00F737D5">
        <w:rPr>
          <w:rFonts w:ascii="Simplified Arabic" w:hAnsi="Simplified Arabic" w:cs="Simplified Arabic"/>
          <w:color w:val="000000" w:themeColor="text1"/>
          <w:sz w:val="28"/>
          <w:szCs w:val="28"/>
          <w:highlight w:val="cyan"/>
          <w:rtl/>
        </w:rPr>
        <w:t xml:space="preserve">" المحاجة هي حتما </w:t>
      </w:r>
      <w:r w:rsidRPr="00F737D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highlight w:val="cyan"/>
          <w:rtl/>
        </w:rPr>
        <w:t>منطق لا</w:t>
      </w:r>
      <w:r w:rsidRPr="00F737D5">
        <w:rPr>
          <w:rFonts w:ascii="Simplified Arabic" w:hAnsi="Simplified Arabic" w:cs="Simplified Arabic"/>
          <w:color w:val="000000" w:themeColor="text1"/>
          <w:sz w:val="28"/>
          <w:szCs w:val="28"/>
          <w:highlight w:val="cyan"/>
          <w:rtl/>
        </w:rPr>
        <w:t xml:space="preserve"> </w:t>
      </w:r>
      <w:r w:rsidRPr="00F737D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highlight w:val="cyan"/>
          <w:rtl/>
        </w:rPr>
        <w:t>صوري</w:t>
      </w:r>
      <w:r w:rsidRPr="00F737D5">
        <w:rPr>
          <w:rFonts w:ascii="Simplified Arabic" w:hAnsi="Simplified Arabic" w:cs="Simplified Arabic"/>
          <w:color w:val="000000" w:themeColor="text1"/>
          <w:sz w:val="28"/>
          <w:szCs w:val="28"/>
          <w:highlight w:val="cyan"/>
          <w:rtl/>
        </w:rPr>
        <w:t xml:space="preserve"> "</w:t>
      </w:r>
      <w:r w:rsidRPr="00F737D5">
        <w:rPr>
          <w:rFonts w:ascii="Simplified Arabic" w:hAnsi="Simplified Arabic" w:cs="Simplified Arabic"/>
          <w:color w:val="000000" w:themeColor="text1"/>
          <w:sz w:val="28"/>
          <w:szCs w:val="28"/>
          <w:highlight w:val="cyan"/>
          <w:vertAlign w:val="superscript"/>
          <w:rtl/>
        </w:rPr>
        <w:t>(</w:t>
      </w:r>
      <w:r w:rsidRPr="00F737D5">
        <w:rPr>
          <w:rStyle w:val="FootnoteReference"/>
          <w:rFonts w:ascii="Simplified Arabic" w:hAnsi="Simplified Arabic" w:cs="Simplified Arabic"/>
          <w:color w:val="000000" w:themeColor="text1"/>
          <w:sz w:val="28"/>
          <w:szCs w:val="28"/>
          <w:highlight w:val="cyan"/>
          <w:rtl/>
        </w:rPr>
        <w:footnoteReference w:id="13"/>
      </w:r>
      <w:r w:rsidRPr="00F737D5">
        <w:rPr>
          <w:rFonts w:ascii="Simplified Arabic" w:hAnsi="Simplified Arabic" w:cs="Simplified Arabic"/>
          <w:color w:val="000000" w:themeColor="text1"/>
          <w:sz w:val="28"/>
          <w:szCs w:val="28"/>
          <w:highlight w:val="cyan"/>
          <w:vertAlign w:val="superscript"/>
          <w:rtl/>
        </w:rPr>
        <w:t>)</w:t>
      </w:r>
      <w:r w:rsidRPr="00AA7D6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</w:p>
    <w:p w:rsidR="00911DF1" w:rsidRDefault="00911DF1" w:rsidP="00911DF1">
      <w:pPr>
        <w:bidi/>
        <w:spacing w:after="240"/>
        <w:ind w:left="1" w:firstLine="708"/>
        <w:rPr>
          <w:rFonts w:ascii="Simplified Arabic" w:hAnsi="Simplified Arabic" w:cs="Simplified Arabic"/>
          <w:color w:val="7030A0"/>
          <w:sz w:val="32"/>
          <w:szCs w:val="32"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عبْر هذه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التعريفات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المختلفة، إذا كان </w:t>
      </w:r>
      <w:r w:rsidRPr="00F737D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معنى كلمة منطق</w:t>
      </w:r>
      <w:r w:rsidR="00F737D5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واحداً مشتركا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>univoque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يلزم الاستنتاج أن بعضا منها سيكون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متهافتا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incompatibles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؛  لكن من الضروري إجراءُ تمييز بين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:</w:t>
      </w:r>
    </w:p>
    <w:p w:rsidR="00F737D5" w:rsidRPr="00F737D5" w:rsidRDefault="00911DF1" w:rsidP="00F737D5">
      <w:pPr>
        <w:shd w:val="clear" w:color="auto" w:fill="00B0F0"/>
        <w:bidi/>
        <w:spacing w:after="240"/>
        <w:rPr>
          <w:rFonts w:ascii="Simplified Arabic" w:hAnsi="Simplified Arabic" w:cs="Simplified Arabic"/>
          <w:sz w:val="32"/>
          <w:szCs w:val="32"/>
          <w:rtl/>
        </w:rPr>
      </w:pPr>
      <w:r w:rsidRPr="00F737D5">
        <w:rPr>
          <w:rFonts w:ascii="Simplified Arabic" w:hAnsi="Simplified Arabic" w:cs="Simplified Arabic"/>
          <w:b/>
          <w:bCs/>
          <w:sz w:val="28"/>
          <w:szCs w:val="28"/>
          <w:rtl/>
        </w:rPr>
        <w:t>المنطق بالمعنى الواسع</w:t>
      </w:r>
      <w:r w:rsidRPr="00F737D5">
        <w:rPr>
          <w:rFonts w:ascii="Simplified Arabic" w:hAnsi="Simplified Arabic" w:cs="Simplified Arabic"/>
          <w:sz w:val="32"/>
          <w:szCs w:val="32"/>
          <w:rtl/>
        </w:rPr>
        <w:t>؛ دراسة كافة أدوات الدليل، أي طرائق الاستدلال في عمومه</w:t>
      </w:r>
      <w:r w:rsidRPr="00F737D5">
        <w:rPr>
          <w:rFonts w:ascii="Simplified Arabic" w:hAnsi="Simplified Arabic" w:cs="Simplified Arabic"/>
          <w:sz w:val="32"/>
          <w:szCs w:val="32"/>
        </w:rPr>
        <w:t>.</w:t>
      </w:r>
    </w:p>
    <w:p w:rsidR="00F737D5" w:rsidRPr="00F737D5" w:rsidRDefault="00911DF1" w:rsidP="00F737D5">
      <w:pPr>
        <w:shd w:val="clear" w:color="auto" w:fill="00B0F0"/>
        <w:bidi/>
        <w:spacing w:after="240"/>
        <w:rPr>
          <w:rFonts w:ascii="Simplified Arabic" w:hAnsi="Simplified Arabic" w:cs="Simplified Arabic"/>
          <w:sz w:val="32"/>
          <w:szCs w:val="32"/>
          <w:rtl/>
        </w:rPr>
      </w:pPr>
      <w:r w:rsidRPr="00F737D5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</w:t>
      </w:r>
      <w:r w:rsidRPr="00F737D5">
        <w:rPr>
          <w:rFonts w:ascii="Simplified Arabic" w:hAnsi="Simplified Arabic" w:cs="Simplified Arabic"/>
          <w:b/>
          <w:bCs/>
          <w:sz w:val="28"/>
          <w:szCs w:val="28"/>
          <w:rtl/>
        </w:rPr>
        <w:t>المنطق بالمعنى الضيق</w:t>
      </w:r>
      <w:r w:rsidRPr="00F737D5">
        <w:rPr>
          <w:rFonts w:ascii="Simplified Arabic" w:hAnsi="Simplified Arabic" w:cs="Simplified Arabic"/>
          <w:sz w:val="28"/>
          <w:szCs w:val="28"/>
          <w:rtl/>
        </w:rPr>
        <w:t>؛</w:t>
      </w:r>
      <w:r w:rsidRPr="00F737D5">
        <w:rPr>
          <w:rFonts w:ascii="Simplified Arabic" w:hAnsi="Simplified Arabic" w:cs="Simplified Arabic"/>
          <w:sz w:val="32"/>
          <w:szCs w:val="32"/>
          <w:rtl/>
        </w:rPr>
        <w:t xml:space="preserve"> المنطق الصوري الحديث، الذي يجتهد في دراسة البرهنة.</w:t>
      </w:r>
      <w:r w:rsidRPr="00F737D5">
        <w:rPr>
          <w:rFonts w:ascii="Simplified Arabic" w:hAnsi="Simplified Arabic" w:cs="Simplified Arabic"/>
          <w:sz w:val="32"/>
          <w:szCs w:val="32"/>
        </w:rPr>
        <w:t>.</w:t>
      </w:r>
    </w:p>
    <w:p w:rsidR="00911DF1" w:rsidRDefault="00911DF1" w:rsidP="00F737D5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</w:rPr>
        <w:br/>
      </w:r>
      <w:r w:rsidR="00F737D5">
        <w:rPr>
          <w:rFonts w:ascii="Simplified Arabic" w:hAnsi="Simplified Arabic" w:cs="Simplified Arabic"/>
          <w:color w:val="7030A0"/>
          <w:sz w:val="32"/>
          <w:szCs w:val="32"/>
          <w:rtl/>
        </w:rPr>
        <w:t>بناء عليه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</w:t>
      </w:r>
      <w:r w:rsidR="00F737D5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إلى جانب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البرهنة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(إلا إذا قبلنا</w:t>
      </w:r>
      <w:r w:rsidR="00F737D5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بإجحاف</w:t>
      </w:r>
      <w:r w:rsidR="00F737D5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اختزال</w:t>
      </w:r>
      <w:r w:rsidR="00F737D5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حقل العقل)، يجب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الاعتراف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بتواجد مجال رحب جدا، انه ذلك الذي يخص </w:t>
      </w:r>
      <w:r w:rsidRPr="00F737D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العلوم الإنسانية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</w:t>
      </w:r>
      <w:r w:rsidRPr="00F737D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الحقوق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</w:t>
      </w:r>
      <w:r w:rsidRPr="00F737D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الفلسفة</w:t>
      </w:r>
      <w:r w:rsidR="00F737D5">
        <w:rPr>
          <w:rFonts w:ascii="Simplified Arabic" w:hAnsi="Simplified Arabic" w:cs="Simplified Arabic" w:hint="cs"/>
          <w:color w:val="7030A0"/>
          <w:sz w:val="32"/>
          <w:szCs w:val="32"/>
          <w:rtl/>
        </w:rPr>
        <w:t>...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وكذلك </w:t>
      </w:r>
      <w:r w:rsidRPr="00F737D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النقاش</w:t>
      </w:r>
      <w:r w:rsidR="00F737D5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ات</w:t>
      </w:r>
      <w:r w:rsidRPr="00F737D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اليوم</w:t>
      </w:r>
      <w:r w:rsidR="00F737D5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</w:t>
      </w:r>
      <w:r w:rsidRPr="00F737D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المداولة الحميمة</w:t>
      </w:r>
      <w:r w:rsidR="00F737D5">
        <w:rPr>
          <w:rFonts w:ascii="Simplified Arabic" w:hAnsi="Simplified Arabic" w:cs="Simplified Arabic" w:hint="cs"/>
          <w:color w:val="7030A0"/>
          <w:sz w:val="32"/>
          <w:szCs w:val="32"/>
          <w:rtl/>
        </w:rPr>
        <w:t>....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مجال يعود للاستدلال </w:t>
      </w:r>
      <w:r w:rsidRPr="00F737D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اللَّابرهاني</w:t>
      </w:r>
      <w:r w:rsidR="00F737D5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أي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المُحَاجَّة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هذا</w:t>
      </w:r>
      <w:r w:rsidR="00F737D5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الحقل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الذي تقوم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البلاغيات بدراسته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.</w:t>
      </w:r>
    </w:p>
    <w:p w:rsidR="000D2F0B" w:rsidRPr="000D2F0B" w:rsidRDefault="00911DF1" w:rsidP="000D2F0B">
      <w:pPr>
        <w:shd w:val="clear" w:color="auto" w:fill="00B0F0"/>
        <w:bidi/>
        <w:spacing w:after="240"/>
        <w:rPr>
          <w:rFonts w:ascii="Simplified Arabic" w:hAnsi="Simplified Arabic" w:cs="Simplified Arabic"/>
          <w:sz w:val="32"/>
          <w:szCs w:val="32"/>
          <w:rtl/>
        </w:rPr>
      </w:pPr>
      <w:r w:rsidRPr="000D2F0B">
        <w:rPr>
          <w:rFonts w:ascii="Simplified Arabic" w:hAnsi="Simplified Arabic" w:cs="Simplified Arabic"/>
          <w:sz w:val="32"/>
          <w:szCs w:val="32"/>
          <w:rtl/>
        </w:rPr>
        <w:t xml:space="preserve"> من زاوية </w:t>
      </w:r>
      <w:r w:rsidRPr="000D2F0B">
        <w:rPr>
          <w:rFonts w:ascii="Simplified Arabic" w:hAnsi="Simplified Arabic" w:cs="Simplified Arabic"/>
          <w:b/>
          <w:bCs/>
          <w:sz w:val="28"/>
          <w:szCs w:val="28"/>
          <w:rtl/>
        </w:rPr>
        <w:t>الاختصاصات</w:t>
      </w:r>
      <w:r w:rsidRPr="000D2F0B">
        <w:rPr>
          <w:rFonts w:ascii="Simplified Arabic" w:hAnsi="Simplified Arabic" w:cs="Simplified Arabic"/>
          <w:sz w:val="28"/>
          <w:szCs w:val="28"/>
          <w:rtl/>
        </w:rPr>
        <w:t>؛</w:t>
      </w:r>
      <w:r w:rsidRPr="000D2F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D2F0B">
        <w:rPr>
          <w:rFonts w:ascii="Simplified Arabic" w:hAnsi="Simplified Arabic" w:cs="Simplified Arabic"/>
          <w:b/>
          <w:bCs/>
          <w:sz w:val="32"/>
          <w:szCs w:val="32"/>
          <w:rtl/>
        </w:rPr>
        <w:t>المنطق</w:t>
      </w:r>
      <w:r w:rsidRPr="000D2F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D2F0B">
        <w:rPr>
          <w:rFonts w:ascii="Simplified Arabic" w:hAnsi="Simplified Arabic" w:cs="Simplified Arabic"/>
          <w:b/>
          <w:bCs/>
          <w:sz w:val="32"/>
          <w:szCs w:val="32"/>
          <w:rtl/>
        </w:rPr>
        <w:t>بالمعنى الواسع للمصطلح، يشمل معا المنطق الصُّوري والبلاغيات</w:t>
      </w:r>
      <w:r w:rsidRPr="000D2F0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11DF1" w:rsidRDefault="00911DF1" w:rsidP="000D2F0B">
      <w:pPr>
        <w:shd w:val="clear" w:color="auto" w:fill="00B0F0"/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 w:rsidRPr="000D2F0B">
        <w:rPr>
          <w:rFonts w:ascii="Simplified Arabic" w:hAnsi="Simplified Arabic" w:cs="Simplified Arabic"/>
          <w:sz w:val="32"/>
          <w:szCs w:val="32"/>
          <w:rtl/>
        </w:rPr>
        <w:t xml:space="preserve"> ومن زاوية </w:t>
      </w:r>
      <w:r w:rsidRPr="000D2F0B">
        <w:rPr>
          <w:rFonts w:ascii="Simplified Arabic" w:hAnsi="Simplified Arabic" w:cs="Simplified Arabic"/>
          <w:b/>
          <w:bCs/>
          <w:sz w:val="28"/>
          <w:szCs w:val="28"/>
          <w:rtl/>
        </w:rPr>
        <w:t>المواضيع</w:t>
      </w:r>
      <w:r w:rsidRPr="000D2F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؛ </w:t>
      </w:r>
      <w:r w:rsidRPr="000D2F0B">
        <w:rPr>
          <w:rFonts w:ascii="Simplified Arabic" w:hAnsi="Simplified Arabic" w:cs="Simplified Arabic"/>
          <w:sz w:val="32"/>
          <w:szCs w:val="32"/>
          <w:rtl/>
        </w:rPr>
        <w:t xml:space="preserve">يتضمن الاستدلال </w:t>
      </w:r>
      <w:r w:rsidRPr="000D2F0B">
        <w:rPr>
          <w:rFonts w:ascii="Simplified Arabic" w:hAnsi="Simplified Arabic" w:cs="Simplified Arabic"/>
          <w:b/>
          <w:bCs/>
          <w:sz w:val="28"/>
          <w:szCs w:val="28"/>
          <w:rtl/>
        </w:rPr>
        <w:t>البرهنة</w:t>
      </w:r>
      <w:r w:rsidRPr="000D2F0B">
        <w:rPr>
          <w:rFonts w:ascii="Simplified Arabic" w:hAnsi="Simplified Arabic" w:cs="Simplified Arabic"/>
          <w:sz w:val="32"/>
          <w:szCs w:val="32"/>
          <w:rtl/>
        </w:rPr>
        <w:t xml:space="preserve"> من جهة، و</w:t>
      </w:r>
      <w:r w:rsidRPr="000D2F0B">
        <w:rPr>
          <w:rFonts w:ascii="Simplified Arabic" w:hAnsi="Simplified Arabic" w:cs="Simplified Arabic"/>
          <w:b/>
          <w:bCs/>
          <w:sz w:val="28"/>
          <w:szCs w:val="28"/>
          <w:rtl/>
        </w:rPr>
        <w:t>المحاجَّة</w:t>
      </w:r>
      <w:r w:rsidRPr="000D2F0B">
        <w:rPr>
          <w:rFonts w:ascii="Simplified Arabic" w:hAnsi="Simplified Arabic" w:cs="Simplified Arabic"/>
          <w:sz w:val="32"/>
          <w:szCs w:val="32"/>
          <w:rtl/>
        </w:rPr>
        <w:t xml:space="preserve"> من جهة أخرى. </w:t>
      </w:r>
      <w:r w:rsidRPr="000D2F0B">
        <w:rPr>
          <w:rFonts w:ascii="Simplified Arabic" w:hAnsi="Simplified Arabic" w:cs="Simplified Arabic"/>
          <w:b/>
          <w:bCs/>
          <w:sz w:val="28"/>
          <w:szCs w:val="28"/>
          <w:rtl/>
        </w:rPr>
        <w:t>ولا يمكن اختزال</w:t>
      </w:r>
      <w:r w:rsidRPr="000D2F0B">
        <w:rPr>
          <w:rStyle w:val="FootnoteReference"/>
          <w:rFonts w:ascii="Simplified Arabic" w:hAnsi="Simplified Arabic" w:cs="Simplified Arabic"/>
          <w:sz w:val="40"/>
          <w:szCs w:val="40"/>
        </w:rPr>
        <w:footnoteReference w:customMarkFollows="1" w:id="14"/>
        <w:sym w:font="Symbol" w:char="002A"/>
      </w:r>
      <w:r w:rsidRPr="000D2F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المحاجَّة إلى البرهان</w:t>
      </w:r>
      <w:r w:rsidRPr="000D2F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 </w:t>
      </w:r>
    </w:p>
    <w:p w:rsidR="000D2F0B" w:rsidRDefault="00911DF1" w:rsidP="00911DF1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بالفعل، في حين يهتم المنطق(الصُّوري) بحقائق تجريدية، جزمية-قطعية أو مُفترضة؛ يكون الهدف</w:t>
      </w:r>
      <w:r w:rsidR="000D2F0B"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البلاغيات هو إذعانيَّة الأنفس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لأطروحات معيَّنة، إنها تتحرك داخل مجال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الرأي</w:t>
      </w:r>
      <w:r w:rsidR="000D2F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</w:t>
      </w:r>
      <w:r w:rsidR="000D2F0B"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>Doxa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.</w:t>
      </w:r>
    </w:p>
    <w:p w:rsidR="00911DF1" w:rsidRDefault="00911DF1" w:rsidP="000D2F0B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تكون </w:t>
      </w:r>
      <w:r w:rsidR="000D2F0B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 xml:space="preserve">البلاغيات </w:t>
      </w:r>
      <w:r w:rsidR="000D2F0B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م</w:t>
      </w:r>
      <w:r w:rsidR="000D2F0B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شخص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ة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، لكن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المنطق يكون مغفلا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. تلتفت البلاغيات لتهتم بالرأي الذي يبديه الخطيب، تحاول التَّصالح مع هذا، ذلك لوجود تفاعلية داخلية ثابتة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 w:rsidRPr="00214697">
        <w:rPr>
          <w:rFonts w:ascii="Simplified Arabic" w:hAnsi="Simplified Arabic" w:cs="Simplified Arabic"/>
          <w:b/>
          <w:bCs/>
          <w:color w:val="7030A0"/>
          <w:sz w:val="24"/>
          <w:szCs w:val="24"/>
        </w:rPr>
        <w:t xml:space="preserve">interaction </w:t>
      </w:r>
      <w:r w:rsidR="00D46140" w:rsidRPr="00214697">
        <w:rPr>
          <w:rFonts w:ascii="Simplified Arabic" w:hAnsi="Simplified Arabic" w:cs="Simplified Arabic"/>
          <w:b/>
          <w:bCs/>
          <w:color w:val="7030A0"/>
          <w:sz w:val="24"/>
          <w:szCs w:val="24"/>
        </w:rPr>
        <w:t>constante</w:t>
      </w:r>
      <w:r w:rsidR="00D46140" w:rsidRPr="00214697"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 w:rsidR="00D46140">
        <w:rPr>
          <w:rFonts w:ascii="Simplified Arabic" w:hAnsi="Simplified Arabic" w:cs="Simplified Arabic" w:hint="cs"/>
          <w:color w:val="7030A0"/>
          <w:sz w:val="32"/>
          <w:szCs w:val="32"/>
          <w:rtl/>
        </w:rPr>
        <w:t>بين الخطيب و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حججه.  بينما يفلت المنطق من هذا المطب الملزم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.</w:t>
      </w:r>
    </w:p>
    <w:p w:rsidR="00D46140" w:rsidRDefault="00911DF1" w:rsidP="00D46140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lastRenderedPageBreak/>
        <w:t xml:space="preserve">في 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عالم المنطق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إننا 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نستدل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 w:rsidRPr="00D46140">
        <w:rPr>
          <w:rFonts w:ascii="Simplified Arabic" w:hAnsi="Simplified Arabic" w:cs="Simplified Arabic"/>
          <w:b/>
          <w:bCs/>
          <w:color w:val="7030A0"/>
          <w:sz w:val="24"/>
          <w:szCs w:val="24"/>
        </w:rPr>
        <w:t>on raisonne</w:t>
      </w:r>
      <w:r>
        <w:rPr>
          <w:rFonts w:ascii="Simplified Arabic" w:hAnsi="Simplified Arabic" w:cs="Simplified Arabic"/>
          <w:color w:val="7030A0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داخل نسق قبلناه مسبقا، لكن في ا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لبلاغيات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كل شيء قابل ليُعاد النظر فيه، ذلك لأن 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الإذعانية</w:t>
      </w:r>
      <w:r w:rsidR="00D46140"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أبدا لن تُعطى دفعة واحدة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في عالم المنطق،  تكون البرهنة </w:t>
      </w:r>
      <w:r w:rsidR="00214697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قطعية-ملزمة</w:t>
      </w:r>
      <w:r w:rsidR="00214697" w:rsidRPr="00214697">
        <w:rPr>
          <w:rFonts w:ascii="Simplified Arabic" w:hAnsi="Simplified Arabic" w:cs="Simplified Arabic" w:hint="cs"/>
          <w:b/>
          <w:bCs/>
          <w:color w:val="7030A0"/>
          <w:sz w:val="24"/>
          <w:szCs w:val="24"/>
          <w:rtl/>
        </w:rPr>
        <w:t xml:space="preserve"> </w:t>
      </w:r>
      <w:r w:rsidR="00214697" w:rsidRPr="00214697">
        <w:rPr>
          <w:rFonts w:ascii="Simplified Arabic" w:hAnsi="Simplified Arabic" w:cs="Simplified Arabic"/>
          <w:b/>
          <w:bCs/>
          <w:color w:val="7030A0"/>
          <w:sz w:val="24"/>
          <w:szCs w:val="24"/>
        </w:rPr>
        <w:t>contraignant</w:t>
      </w:r>
      <w:r w:rsidR="00214697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دليل واحد فقط يكفي،  ويجري ضمان اشتراك المعنى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 w:rsidRPr="00214697">
        <w:rPr>
          <w:rFonts w:ascii="Simplified Arabic" w:hAnsi="Simplified Arabic" w:cs="Simplified Arabic"/>
          <w:b/>
          <w:bCs/>
          <w:color w:val="7030A0"/>
          <w:sz w:val="24"/>
          <w:szCs w:val="24"/>
        </w:rPr>
        <w:t>l'univocité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بواسطة الرجوع إلى لغة اصطناعية</w:t>
      </w:r>
      <w:r w:rsidR="00D46140">
        <w:rPr>
          <w:rFonts w:ascii="Simplified Arabic" w:hAnsi="Simplified Arabic" w:cs="Simplified Arabic" w:hint="cs"/>
          <w:color w:val="7030A0"/>
          <w:sz w:val="32"/>
          <w:szCs w:val="32"/>
          <w:rtl/>
        </w:rPr>
        <w:t>.</w:t>
      </w:r>
    </w:p>
    <w:p w:rsidR="00911DF1" w:rsidRDefault="00911DF1" w:rsidP="00D46140">
      <w:pPr>
        <w:bidi/>
        <w:spacing w:after="240"/>
        <w:jc w:val="left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في 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البلاغيات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 بالعكس؛ الم</w:t>
      </w:r>
      <w:r w:rsidR="00D46140">
        <w:rPr>
          <w:rFonts w:ascii="Simplified Arabic" w:hAnsi="Simplified Arabic" w:cs="Simplified Arabic" w:hint="cs"/>
          <w:color w:val="7030A0"/>
          <w:sz w:val="32"/>
          <w:szCs w:val="32"/>
          <w:rtl/>
        </w:rPr>
        <w:t>ُ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حاجَّة ليست قطعيَّة ملزمة، حتى أنه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ليس في مقدور أحد أن يُتهم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 xml:space="preserve"> 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بالتناقض</w:t>
      </w:r>
      <w:r>
        <w:rPr>
          <w:rStyle w:val="FootnoteReference"/>
          <w:rFonts w:ascii="Simplified Arabic" w:hAnsi="Simplified Arabic" w:cs="Simplified Arabic"/>
          <w:color w:val="7030A0"/>
          <w:sz w:val="40"/>
          <w:szCs w:val="40"/>
        </w:rPr>
        <w:footnoteReference w:customMarkFollows="1" w:id="15"/>
        <w:sym w:font="Symbol" w:char="002A"/>
      </w:r>
      <w:r>
        <w:rPr>
          <w:rFonts w:ascii="Simplified Arabic" w:hAnsi="Simplified Arabic" w:cs="Simplified Arabic"/>
          <w:color w:val="7030A0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أو اللَّغو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 w:rsidRPr="00214697">
        <w:rPr>
          <w:rFonts w:ascii="Simplified Arabic" w:hAnsi="Simplified Arabic" w:cs="Simplified Arabic"/>
          <w:b/>
          <w:bCs/>
          <w:color w:val="7030A0"/>
          <w:sz w:val="24"/>
          <w:szCs w:val="24"/>
        </w:rPr>
        <w:t>l'absurde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لا وجود هناك لحدود توقف تراكمية الحجج، كما إن استعمال اللغة الطبيعية تستدعي اللَّبس والغموض في المصطلحات</w:t>
      </w:r>
      <w:r>
        <w:rPr>
          <w:rFonts w:ascii="Simplified Arabic" w:hAnsi="Simplified Arabic" w:cs="Simplified Arabic"/>
          <w:color w:val="7030A0"/>
          <w:sz w:val="24"/>
          <w:szCs w:val="24"/>
        </w:rPr>
        <w:t xml:space="preserve"> l'ambiguïté-confusion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إذا كان من اللازم في المحاجَّة تحديد قصد الخطيب</w:t>
      </w:r>
      <w:r>
        <w:rPr>
          <w:rFonts w:ascii="Simplified Arabic" w:hAnsi="Simplified Arabic" w:cs="Simplified Arabic"/>
          <w:color w:val="7030A0"/>
          <w:sz w:val="24"/>
          <w:szCs w:val="24"/>
        </w:rPr>
        <w:t xml:space="preserve"> l'intention du locuteur</w:t>
      </w:r>
      <w:r>
        <w:rPr>
          <w:rFonts w:ascii="Simplified Arabic" w:hAnsi="Simplified Arabic" w:cs="Simplified Arabic"/>
          <w:color w:val="7030A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، مد</w:t>
      </w:r>
      <w:r w:rsidR="00D46140">
        <w:rPr>
          <w:rFonts w:ascii="Simplified Arabic" w:hAnsi="Simplified Arabic" w:cs="Simplified Arabic"/>
          <w:color w:val="7030A0"/>
          <w:sz w:val="32"/>
          <w:szCs w:val="32"/>
          <w:rtl/>
        </w:rPr>
        <w:t>ى ودلالة</w:t>
      </w:r>
      <w:r w:rsidR="00D46140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دعاوية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4"/>
          <w:szCs w:val="24"/>
        </w:rPr>
        <w:t>ses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24"/>
          <w:szCs w:val="24"/>
        </w:rPr>
        <w:t>propos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فالأمر ليس كذلك في 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المنطق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</w:p>
    <w:p w:rsidR="00D46140" w:rsidRDefault="00911DF1" w:rsidP="00D46140">
      <w:pPr>
        <w:bidi/>
        <w:spacing w:after="240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يوجد فيما بين 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المنطق الصُّوري والبلاغيات تضاد</w:t>
      </w:r>
      <w:r w:rsidRPr="00D46140"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 </w:t>
      </w:r>
      <w:r w:rsidRPr="00D46140">
        <w:rPr>
          <w:rFonts w:ascii="Simplified Arabic" w:hAnsi="Simplified Arabic" w:cs="Simplified Arabic"/>
          <w:b/>
          <w:bCs/>
          <w:color w:val="7030A0"/>
          <w:sz w:val="24"/>
          <w:szCs w:val="24"/>
        </w:rPr>
        <w:t>opposition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داخل إطار مشترك، ذلك الذي يعود للاستدلال في عمومه، النشاط العقلي للنفس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</w:p>
    <w:p w:rsidR="00911DF1" w:rsidRDefault="00911DF1" w:rsidP="00D46140">
      <w:pPr>
        <w:bidi/>
        <w:spacing w:after="240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</w:pP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على </w:t>
      </w:r>
      <w:r w:rsidRPr="00CE7BA1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الصَّعيد الميتودولوجي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رغم ذلك، يصلح المنطق الصوري كمِنوال للبلاغيات؛ هذا المنطق، بالفعل قد تطور انطلاقا من اللَّحظة التي أخضع فيها مناطقه مثل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28"/>
          <w:szCs w:val="28"/>
        </w:rPr>
        <w:t xml:space="preserve">( </w:t>
      </w:r>
      <w:r w:rsidR="006C5A6A">
        <w:rPr>
          <w:rFonts w:ascii="Simplified Arabic" w:hAnsi="Simplified Arabic" w:cs="Simplified Arabic"/>
          <w:color w:val="7030A0"/>
          <w:sz w:val="24"/>
          <w:szCs w:val="24"/>
        </w:rPr>
        <w:t>Frege</w:t>
      </w:r>
      <w:r>
        <w:rPr>
          <w:rFonts w:ascii="Simplified Arabic" w:hAnsi="Simplified Arabic" w:cs="Simplified Arabic"/>
          <w:color w:val="7030A0"/>
          <w:sz w:val="28"/>
          <w:szCs w:val="28"/>
        </w:rPr>
        <w:t>)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للتحليل طريقة استدلال الرياضياتيين؛ بالمماثلة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ستتطور البلاغيات بواسطة تحليل للمحاجَّات في العلوم الإنسانية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</w:rPr>
        <w:t>.</w:t>
      </w:r>
    </w:p>
    <w:p w:rsidR="00911DF1" w:rsidRDefault="00911DF1" w:rsidP="00911DF1">
      <w:pPr>
        <w:bidi/>
        <w:spacing w:after="240"/>
        <w:ind w:firstLine="708"/>
        <w:rPr>
          <w:rFonts w:ascii="Simplified Arabic" w:hAnsi="Simplified Arabic" w:cs="Simplified Arabic"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في الختام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تدرس البلاغيات الجديدة التقنيات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الخطابية الهادفة إلى إثارة أو توسيع نطاق إذعانية الأنفس للأطروحات المقدمة في حضرة تصديقاتهم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7030A0"/>
          <w:sz w:val="32"/>
          <w:szCs w:val="32"/>
          <w:rtl/>
        </w:rPr>
        <w:t>إنها تشد الوثاق من جديد مع البلاغيات القديمة،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هذه التي كانت تهتم بالتقنيات الهادفة إلى الإفحام بواسطة الخطاب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لكن وهي تكيف موضوعها مع السياق المعاصر</w:t>
      </w:r>
      <w:r>
        <w:rPr>
          <w:rFonts w:ascii="Simplified Arabic" w:hAnsi="Simplified Arabic" w:cs="Simplified Arabic"/>
          <w:color w:val="7030A0"/>
          <w:sz w:val="32"/>
          <w:szCs w:val="32"/>
        </w:rPr>
        <w:t xml:space="preserve"> :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>أخذت تؤكد على المحاج</w:t>
      </w:r>
      <w:r>
        <w:rPr>
          <w:rFonts w:ascii="Simplified Arabic" w:hAnsi="Simplified Arabic" w:cs="Simplified Arabic"/>
          <w:color w:val="7030A0"/>
          <w:sz w:val="32"/>
          <w:szCs w:val="32"/>
          <w:rtl/>
          <w:lang w:bidi="ar-DZ"/>
        </w:rPr>
        <w:t>َّ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ة بدأت تهتم جيدا 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lastRenderedPageBreak/>
        <w:t xml:space="preserve">بالمحاجَّات الكتابية كما المحاجَّات الشفوية (و حتَّى الإلكترونية) لم تحصرْ نفسها في نمط خاص من الجمهور المتلقِّي للخطاب،  إنما شملت كافة أنواع جماهير الخطاب. تعد هذه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البلاغيات الجديدة</w:t>
      </w:r>
      <w:r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جزءا من المنطق بالمعنى العام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، إلا أنها تتعارض مع المنطق الصوري وهي تقوم بذلك، تكون قد استعادت إلى </w:t>
      </w:r>
      <w: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حقل المعقول</w:t>
      </w:r>
      <w:r>
        <w:rPr>
          <w:rFonts w:ascii="Simplified Arabic" w:hAnsi="Simplified Arabic" w:cs="Simplified Arabic"/>
          <w:color w:val="7030A0"/>
          <w:sz w:val="32"/>
          <w:szCs w:val="32"/>
          <w:rtl/>
        </w:rPr>
        <w:t xml:space="preserve"> صُوَرًا من الاستدلال قد جرى التخلِّي عنها منذ (ديكارت) إلى حقل اللامعقول</w:t>
      </w:r>
      <w:r>
        <w:rPr>
          <w:rFonts w:ascii="Simplified Arabic" w:hAnsi="Simplified Arabic" w:cs="Simplified Arabic"/>
          <w:color w:val="7030A0"/>
          <w:sz w:val="32"/>
          <w:szCs w:val="32"/>
        </w:rPr>
        <w:t>.</w:t>
      </w:r>
    </w:p>
    <w:p w:rsidR="00D623E4" w:rsidRDefault="00D623E4" w:rsidP="00911DF1">
      <w:pPr>
        <w:bidi/>
      </w:pPr>
    </w:p>
    <w:sectPr w:rsidR="00D623E4" w:rsidSect="006C5A6A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AA" w:rsidRDefault="00D948AA" w:rsidP="00911DF1">
      <w:pPr>
        <w:spacing w:line="240" w:lineRule="auto"/>
      </w:pPr>
      <w:r>
        <w:separator/>
      </w:r>
    </w:p>
  </w:endnote>
  <w:endnote w:type="continuationSeparator" w:id="0">
    <w:p w:rsidR="00D948AA" w:rsidRDefault="00D948AA" w:rsidP="0091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AA" w:rsidRDefault="00D948AA" w:rsidP="00911DF1">
      <w:pPr>
        <w:spacing w:line="240" w:lineRule="auto"/>
      </w:pPr>
      <w:r>
        <w:separator/>
      </w:r>
    </w:p>
  </w:footnote>
  <w:footnote w:type="continuationSeparator" w:id="0">
    <w:p w:rsidR="00D948AA" w:rsidRDefault="00D948AA" w:rsidP="00911DF1">
      <w:pPr>
        <w:spacing w:line="240" w:lineRule="auto"/>
      </w:pPr>
      <w:r>
        <w:continuationSeparator/>
      </w:r>
    </w:p>
  </w:footnote>
  <w:footnote w:id="1">
    <w:p w:rsidR="00911DF1" w:rsidRDefault="00911DF1" w:rsidP="00911DF1">
      <w:pPr>
        <w:pStyle w:val="FootnoteText"/>
        <w:bidi/>
        <w:jc w:val="both"/>
        <w:rPr>
          <w:color w:val="00B050"/>
          <w:rtl/>
          <w:lang w:bidi="ar-DZ"/>
        </w:rPr>
      </w:pPr>
      <w:r>
        <w:rPr>
          <w:sz w:val="40"/>
          <w:szCs w:val="40"/>
          <w:rtl/>
        </w:rPr>
        <w:t xml:space="preserve"> </w:t>
      </w: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>لهذا الأمر بالذات ،مثلا، يقوم مذهب الوضعية بإقصاء المشكلات الفلسفية.</w:t>
      </w:r>
    </w:p>
  </w:footnote>
  <w:footnote w:id="2">
    <w:p w:rsidR="00911DF1" w:rsidRDefault="00911DF1" w:rsidP="00911DF1">
      <w:pPr>
        <w:pStyle w:val="FootnoteText"/>
        <w:jc w:val="both"/>
        <w:rPr>
          <w:rFonts w:cstheme="minorHAnsi"/>
          <w:color w:val="FF0000"/>
          <w:sz w:val="28"/>
          <w:szCs w:val="28"/>
          <w:rtl/>
          <w:lang w:bidi="ar-DZ"/>
        </w:rPr>
      </w:pPr>
      <w:r>
        <w:rPr>
          <w:rStyle w:val="FootnoteReference"/>
          <w:rFonts w:cstheme="minorHAnsi"/>
          <w:sz w:val="28"/>
          <w:szCs w:val="28"/>
        </w:rPr>
        <w:footnoteRef/>
      </w:r>
      <w:r>
        <w:rPr>
          <w:rFonts w:cs="Times New Roman"/>
          <w:sz w:val="28"/>
          <w:szCs w:val="28"/>
          <w:rtl/>
        </w:rPr>
        <w:noBreakHyphen/>
        <w:t xml:space="preserve"> </w:t>
      </w:r>
      <w:r>
        <w:rPr>
          <w:rFonts w:cstheme="minorHAnsi"/>
          <w:sz w:val="28"/>
          <w:szCs w:val="28"/>
        </w:rPr>
        <w:t xml:space="preserve">PERELMAN(Chaïm) ;1968 ; une théorie philosophique de l’argumentation  </w:t>
      </w:r>
      <w:r>
        <w:rPr>
          <w:rFonts w:cstheme="minorHAnsi"/>
          <w:sz w:val="24"/>
          <w:szCs w:val="24"/>
        </w:rPr>
        <w:t>repris in</w:t>
      </w:r>
      <w:r>
        <w:rPr>
          <w:rFonts w:cstheme="minorHAnsi"/>
          <w:sz w:val="28"/>
          <w:szCs w:val="28"/>
        </w:rPr>
        <w:t> ; le champ de l’argumentation ,1970, p.13</w:t>
      </w:r>
    </w:p>
  </w:footnote>
  <w:footnote w:id="3">
    <w:p w:rsidR="00911DF1" w:rsidRDefault="00911DF1" w:rsidP="00911DF1">
      <w:pPr>
        <w:pStyle w:val="FootnoteTex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Style w:val="FootnoteReference"/>
          <w:rFonts w:cstheme="minorHAnsi"/>
          <w:sz w:val="28"/>
          <w:szCs w:val="28"/>
        </w:rPr>
        <w:footnoteRef/>
      </w:r>
      <w:r>
        <w:rPr>
          <w:rFonts w:cs="Times New Roman"/>
          <w:sz w:val="28"/>
          <w:szCs w:val="28"/>
          <w:rtl/>
        </w:rPr>
        <w:noBreakHyphen/>
        <w:t xml:space="preserve"> </w:t>
      </w:r>
      <w:r>
        <w:rPr>
          <w:rFonts w:cstheme="minorHAnsi"/>
          <w:sz w:val="28"/>
          <w:szCs w:val="28"/>
        </w:rPr>
        <w:t xml:space="preserve">PERELMAN(Chaïm) 1968 ; une théorie philosophique de l’argumentation  </w:t>
      </w:r>
      <w:r>
        <w:rPr>
          <w:rFonts w:cstheme="minorHAnsi"/>
          <w:sz w:val="24"/>
          <w:szCs w:val="24"/>
        </w:rPr>
        <w:t>repris in</w:t>
      </w:r>
      <w:r>
        <w:rPr>
          <w:rFonts w:cstheme="minorHAnsi"/>
          <w:sz w:val="28"/>
          <w:szCs w:val="28"/>
        </w:rPr>
        <w:t> ; le champ de l’argumentation ,1970, p.13</w:t>
      </w:r>
      <w:r>
        <w:rPr>
          <w:rFonts w:ascii="Simplified Arabic" w:hAnsi="Simplified Arabic" w:cs="Simplified Arabic"/>
          <w:sz w:val="28"/>
          <w:szCs w:val="28"/>
        </w:rPr>
        <w:t xml:space="preserve">   </w:t>
      </w:r>
    </w:p>
  </w:footnote>
  <w:footnote w:id="4">
    <w:p w:rsidR="00911DF1" w:rsidRDefault="00911DF1" w:rsidP="00911DF1">
      <w:pPr>
        <w:pStyle w:val="FootnoteText"/>
        <w:bidi/>
        <w:jc w:val="both"/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</w:rPr>
        <w:t xml:space="preserve"> </w:t>
      </w:r>
      <w:r>
        <w:rPr>
          <w:color w:val="00B050"/>
          <w:rtl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لدينا حول هذا المبحث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المصادر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التَّالية:  المنطق و البلاغيَّات(1968)؛ عناصر من أجل نظريَّة في المُحاجَّة(1968)؛ المُفصَّل في المحاجَّة(1958)؛ بحوث مابين تخصُّصيَّة في المحاجَّة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noBreakHyphen/>
        <w:t xml:space="preserve"> مجلة المنطق والتحليل(1968) وردت أيضا في حقل المحاجَّة؛ الدليلُ في الفلسفة، الوارد ضمن كتاب البلاغيَّات و الفلسفة؛ الفعل و الشَّخص في المُحاجَّة الذي ورد في البلاغيَّات و الفلسفة؛ ثمَّ المنطق و البلاغيَّات.</w:t>
      </w:r>
    </w:p>
  </w:footnote>
  <w:footnote w:id="5">
    <w:p w:rsidR="00911DF1" w:rsidRDefault="00911DF1" w:rsidP="00911DF1">
      <w:pPr>
        <w:pStyle w:val="FootnoteText"/>
        <w:bidi/>
        <w:spacing w:line="276" w:lineRule="auto"/>
        <w:jc w:val="both"/>
        <w:rPr>
          <w:lang w:bidi="ar-DZ"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  <w:sz w:val="40"/>
          <w:szCs w:val="40"/>
        </w:rPr>
        <w:t xml:space="preserve"> </w:t>
      </w:r>
      <w:r>
        <w:rPr>
          <w:color w:val="00B050"/>
          <w:rtl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في هذا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السيَّاق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لدينا؛ بحث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الحريَّة والاستدلال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الوارد في البلاغيات والفلسفة؛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المنطق والمُحاجة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؛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عناصر من أجل نظرية في المُحاجَّة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؛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المفصل في المُحاجة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؛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من أجل نظرية فلسفية في المحاجَّة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ورد في حقل المحاجَّة؛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الأطر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الاجتماعية للمحاجَّة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وارد في حقل المحاجَّة؛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الدَّليل في الفلسفة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>؛ إمبراطورية البلاغيات.</w:t>
      </w:r>
    </w:p>
  </w:footnote>
  <w:footnote w:id="6">
    <w:p w:rsidR="00911DF1" w:rsidRDefault="00911DF1" w:rsidP="00911DF1">
      <w:pPr>
        <w:pStyle w:val="FootnoteText"/>
        <w:bidi/>
        <w:spacing w:line="276" w:lineRule="auto"/>
        <w:jc w:val="both"/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  <w:sz w:val="40"/>
          <w:szCs w:val="40"/>
        </w:rPr>
        <w:t xml:space="preserve"> </w:t>
      </w:r>
      <w:r>
        <w:rPr>
          <w:color w:val="00B050"/>
          <w:rtl/>
        </w:rPr>
        <w:t xml:space="preserve">  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قبل أفولها ، كانت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البلاغيَّات العتيقة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قد تحلَّلت تدريجيًّا، لتتحوَّل إلى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دراسة لوجوه/أضرب الأسلوب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>، لكن حسب (بيرلمان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noBreakHyphen/>
        <w:t xml:space="preserve">تيتكا) لن يكون لاستعادتها أيُّ معنى خارج سياق المُحاجَّة. يُنظر لكتاب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إمبراطورية البلاغيَّات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ص 10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noBreakHyphen/>
        <w:t xml:space="preserve"> 19 .</w:t>
      </w:r>
    </w:p>
    <w:p w:rsidR="00911DF1" w:rsidRDefault="00911DF1" w:rsidP="00911DF1">
      <w:pPr>
        <w:pStyle w:val="FootnoteText"/>
        <w:bidi/>
        <w:jc w:val="both"/>
        <w:rPr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</w:p>
  </w:footnote>
  <w:footnote w:id="7">
    <w:p w:rsidR="00911DF1" w:rsidRDefault="00911DF1" w:rsidP="00911DF1">
      <w:pPr>
        <w:pStyle w:val="FootnoteText"/>
        <w:spacing w:line="276" w:lineRule="auto"/>
        <w:jc w:val="both"/>
        <w:rPr>
          <w:sz w:val="28"/>
          <w:szCs w:val="28"/>
        </w:rPr>
      </w:pPr>
      <w:r>
        <w:rPr>
          <w:rStyle w:val="FootnoteReference"/>
          <w:sz w:val="28"/>
          <w:szCs w:val="28"/>
        </w:rPr>
        <w:footnoteRef/>
      </w:r>
      <w:r>
        <w:rPr>
          <w:sz w:val="28"/>
          <w:szCs w:val="28"/>
          <w:rtl/>
        </w:rPr>
        <w:noBreakHyphen/>
        <w:t xml:space="preserve"> </w:t>
      </w:r>
      <w:r>
        <w:rPr>
          <w:sz w:val="28"/>
          <w:szCs w:val="28"/>
        </w:rPr>
        <w:t xml:space="preserve">PRELMAN(Chaïm) </w:t>
      </w:r>
      <w:r>
        <w:rPr>
          <w:sz w:val="24"/>
          <w:szCs w:val="24"/>
        </w:rPr>
        <w:t>et</w:t>
      </w:r>
      <w:r>
        <w:rPr>
          <w:sz w:val="28"/>
          <w:szCs w:val="28"/>
        </w:rPr>
        <w:t xml:space="preserve"> (L.O.TYTECA) 2000 ; traité de l’argumentation :</w:t>
      </w:r>
    </w:p>
    <w:p w:rsidR="00911DF1" w:rsidRDefault="00911DF1" w:rsidP="00911DF1">
      <w:pPr>
        <w:pStyle w:val="FootnoteText"/>
        <w:spacing w:line="276" w:lineRule="auto"/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 Nouvelles rhétorique ; p.10</w:t>
      </w:r>
    </w:p>
  </w:footnote>
  <w:footnote w:id="8">
    <w:p w:rsidR="00911DF1" w:rsidRDefault="00911DF1" w:rsidP="00911DF1">
      <w:pPr>
        <w:pStyle w:val="FootnoteText"/>
        <w:bidi/>
        <w:spacing w:line="276" w:lineRule="auto"/>
        <w:jc w:val="both"/>
        <w:rPr>
          <w:rFonts w:ascii="Simplified Arabic" w:hAnsi="Simplified Arabic" w:cs="Simplified Arabic"/>
          <w:color w:val="00B050"/>
          <w:sz w:val="24"/>
          <w:szCs w:val="24"/>
          <w:shd w:val="clear" w:color="auto" w:fill="FAFAFA"/>
          <w:rtl/>
          <w:lang w:bidi="ar-DZ"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  <w:sz w:val="40"/>
          <w:szCs w:val="40"/>
        </w:rPr>
        <w:t xml:space="preserve"> </w:t>
      </w:r>
      <w:r>
        <w:rPr>
          <w:color w:val="00B050"/>
          <w:rtl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من بين الأدلة، ما يكون خارج التقنيات، و منها ما هو تقنيٌّ. خارج التقنيَّات؛ تلك الأدلة الَّتي لم تزودنا بها أدواتنا الشخصية و تكون قد أُعطيت سلفاً، كأقوال شُّهُود العيان، الاعتراف تحت التعذيب، الشهادات المكتوبة و غيرها من النوع إيَّاه. أمَّا الأدلة التقنية، فهي تلك التي نتزوَّد بها عن طريق المنهج و بفضل أدواتنا الشَّخصية. لذلك من الضَّروري استعمال الأولى، لكن يجب إبداع الثَّانية.(أرسطو: في البلاغة)      </w:t>
      </w:r>
    </w:p>
  </w:footnote>
  <w:footnote w:id="9">
    <w:p w:rsidR="00911DF1" w:rsidRDefault="00911DF1" w:rsidP="00911DF1">
      <w:pPr>
        <w:pStyle w:val="FootnoteText"/>
        <w:bidi/>
        <w:spacing w:line="276" w:lineRule="auto"/>
        <w:jc w:val="both"/>
        <w:rPr>
          <w:rFonts w:ascii="Simplified Arabic" w:hAnsi="Simplified Arabic" w:cs="Simplified Arabic"/>
          <w:color w:val="00B050"/>
          <w:sz w:val="24"/>
          <w:szCs w:val="24"/>
          <w:lang w:bidi="ar-DZ"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جرى الاستعانة في معالجة هذا العنصر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بالمصادر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التَّالية: المفصل في المُحاجَّة، المنطق و البلاغيات(بحث استعيد ضمن كتاب البلاغيَّات و الفلسفة. ثم لدينا أيضا البحوث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المابين/تخصصية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المستعادة ضمن كتاب حقل المحاجَّة.  </w:t>
      </w:r>
    </w:p>
    <w:p w:rsidR="00911DF1" w:rsidRDefault="00911DF1" w:rsidP="00911DF1">
      <w:pPr>
        <w:pStyle w:val="FootnoteText"/>
        <w:bidi/>
        <w:spacing w:line="276" w:lineRule="auto"/>
        <w:jc w:val="both"/>
        <w:rPr>
          <w:color w:val="00B050"/>
          <w:rtl/>
          <w:lang w:bidi="ar-DZ"/>
        </w:rPr>
      </w:pPr>
    </w:p>
  </w:footnote>
  <w:footnote w:id="10">
    <w:p w:rsidR="00911DF1" w:rsidRDefault="00911DF1" w:rsidP="00911DF1">
      <w:pPr>
        <w:pStyle w:val="FootnoteText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  <w:sz w:val="40"/>
          <w:szCs w:val="40"/>
        </w:rPr>
        <w:t xml:space="preserve"> </w:t>
      </w:r>
      <w:r>
        <w:rPr>
          <w:color w:val="00B050"/>
          <w:rtl/>
        </w:rPr>
        <w:t xml:space="preserve">  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تطرق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البحثان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بالتفصيل لهذا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 xml:space="preserve"> التَّرابط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في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المصادر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التّاَلية: المُفصَّل في المحاجَّة 1958، المنطق و البلاغيَّات 1950 الفعل و الشخص في المُحاجة 1951، نظرية الدليل(مقدمة الملتقى الدولي 1954)، كيف نستدلُّ حول القيَّم؟ 1955، البداهة و الدَّليل 1957، الأطرُ الاجتماعية للمحاجَّة 1959، الفلسفة و المُحاجَّة 1960، أحكام القيمة؛ التبرير والمحاجَّة 1961، إمبراطورية البلاغيات 1977، دروس في المنطق 1961، الفلسفة؛ البلاغيات؛ المواضع المشتركة 1972 فـــ(</w:t>
      </w:r>
      <w:r>
        <w:rPr>
          <w:rFonts w:ascii="Simplified Arabic" w:hAnsi="Simplified Arabic" w:cs="Simplified Arabic"/>
          <w:b/>
          <w:bCs/>
          <w:color w:val="00B050"/>
          <w:sz w:val="22"/>
          <w:szCs w:val="22"/>
          <w:rtl/>
        </w:rPr>
        <w:t>المنطق هو دراسة أدوات الدَّليل. وقد تحدَّد نطاقه ضمن دراسة: الدَّليل الإستنتاجيِّ، البرهنة المُصَوْرَنَةُ، المشتغلة آليًّا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>).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</w:footnote>
  <w:footnote w:id="11">
    <w:p w:rsidR="00911DF1" w:rsidRDefault="00911DF1" w:rsidP="00911DF1">
      <w:pPr>
        <w:pStyle w:val="FootnoteText"/>
        <w:bidi/>
        <w:spacing w:line="276" w:lineRule="auto"/>
        <w:jc w:val="both"/>
        <w:rPr>
          <w:rFonts w:ascii="Simplified Arabic" w:hAnsi="Simplified Arabic" w:cs="Simplified Arabic"/>
          <w:color w:val="00B050"/>
          <w:sz w:val="24"/>
          <w:szCs w:val="24"/>
          <w:rtl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</w:rPr>
        <w:t xml:space="preserve"> </w:t>
      </w:r>
      <w:r>
        <w:rPr>
          <w:color w:val="00B050"/>
          <w:rtl/>
        </w:rPr>
        <w:t xml:space="preserve">  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الرَّجاء معاينة بحث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الأطر الاجتماعية للمُحاجَّة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(1959) ص24 و بحث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الفلسفة، البلاغيَّات، المواضع المشتركة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(1972) ص185</w:t>
      </w:r>
      <w:r>
        <w:rPr>
          <w:rFonts w:ascii="Simplified Arabic" w:hAnsi="Simplified Arabic" w:cs="Simplified Arabic"/>
          <w:color w:val="00B050"/>
          <w:sz w:val="24"/>
          <w:szCs w:val="24"/>
        </w:rPr>
        <w:t>.</w:t>
      </w:r>
    </w:p>
  </w:footnote>
  <w:footnote w:id="12">
    <w:p w:rsidR="00911DF1" w:rsidRDefault="00911DF1" w:rsidP="00911DF1">
      <w:pPr>
        <w:pStyle w:val="FootnoteText"/>
        <w:bidi/>
        <w:spacing w:line="276" w:lineRule="auto"/>
        <w:jc w:val="both"/>
        <w:rPr>
          <w:sz w:val="24"/>
          <w:szCs w:val="24"/>
          <w:rtl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  <w:sz w:val="40"/>
          <w:szCs w:val="40"/>
        </w:rPr>
        <w:t xml:space="preserve"> </w:t>
      </w:r>
      <w:r>
        <w:rPr>
          <w:color w:val="00B050"/>
          <w:rtl/>
        </w:rPr>
        <w:t xml:space="preserve">  </w:t>
      </w:r>
      <w:r>
        <w:rPr>
          <w:b/>
          <w:bCs/>
          <w:color w:val="00B050"/>
          <w:sz w:val="24"/>
          <w:szCs w:val="24"/>
          <w:rtl/>
        </w:rPr>
        <w:t xml:space="preserve">الأطرُ الاجتماعية للمُحاجَّة؛ </w:t>
      </w:r>
      <w:r>
        <w:rPr>
          <w:color w:val="00B050"/>
          <w:sz w:val="24"/>
          <w:szCs w:val="24"/>
        </w:rPr>
        <w:t>Cahiers internationaux de Sociologie</w:t>
      </w:r>
      <w:r>
        <w:rPr>
          <w:color w:val="00B050"/>
          <w:sz w:val="24"/>
          <w:szCs w:val="24"/>
          <w:rtl/>
        </w:rPr>
        <w:t xml:space="preserve"> </w:t>
      </w:r>
      <w:r>
        <w:rPr>
          <w:rFonts w:hint="cs"/>
          <w:color w:val="00B050"/>
          <w:sz w:val="24"/>
          <w:szCs w:val="24"/>
          <w:rtl/>
        </w:rPr>
        <w:t>(195</w:t>
      </w:r>
      <w:r>
        <w:rPr>
          <w:color w:val="00B050"/>
          <w:sz w:val="24"/>
          <w:szCs w:val="24"/>
          <w:rtl/>
          <w:lang w:bidi="ar-DZ"/>
        </w:rPr>
        <w:t>9</w:t>
      </w:r>
      <w:r>
        <w:rPr>
          <w:color w:val="00B050"/>
          <w:sz w:val="24"/>
          <w:szCs w:val="24"/>
          <w:rtl/>
        </w:rPr>
        <w:t xml:space="preserve"> ) ص 35؛ وقد أعيد نشره في </w:t>
      </w:r>
      <w:r>
        <w:rPr>
          <w:b/>
          <w:bCs/>
          <w:color w:val="00B050"/>
          <w:sz w:val="24"/>
          <w:szCs w:val="24"/>
          <w:rtl/>
        </w:rPr>
        <w:t>حقل المُحاجَّة</w:t>
      </w:r>
      <w:r>
        <w:rPr>
          <w:color w:val="00B050"/>
          <w:sz w:val="24"/>
          <w:szCs w:val="24"/>
          <w:rtl/>
        </w:rPr>
        <w:t xml:space="preserve"> (1970) ص24-40</w:t>
      </w:r>
    </w:p>
  </w:footnote>
  <w:footnote w:id="13">
    <w:p w:rsidR="00911DF1" w:rsidRDefault="00911DF1" w:rsidP="00911DF1">
      <w:pPr>
        <w:pStyle w:val="FootnoteText"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Style w:val="FootnoteReference"/>
          <w:rFonts w:ascii="Simplified Arabic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noBreakHyphen/>
        <w:t xml:space="preserve"> </w:t>
      </w:r>
      <w:r>
        <w:rPr>
          <w:rFonts w:cs="Simplified Arabic"/>
          <w:sz w:val="28"/>
          <w:szCs w:val="28"/>
        </w:rPr>
        <w:t>PERELMAN (Chaïm)</w:t>
      </w:r>
      <w:r>
        <w:rPr>
          <w:rFonts w:ascii="Simplified Arabic" w:hAnsi="Simplified Arabic" w:cs="Simplified Arabic"/>
          <w:sz w:val="24"/>
          <w:szCs w:val="24"/>
        </w:rPr>
        <w:t> ;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jugements de valeur, justification et argumentation p.334</w:t>
      </w:r>
    </w:p>
  </w:footnote>
  <w:footnote w:id="14">
    <w:p w:rsidR="00911DF1" w:rsidRDefault="00911DF1" w:rsidP="00911DF1">
      <w:pPr>
        <w:pStyle w:val="FootnoteText"/>
        <w:bidi/>
        <w:spacing w:line="276" w:lineRule="auto"/>
        <w:jc w:val="both"/>
        <w:rPr>
          <w:color w:val="00B050"/>
          <w:rtl/>
          <w:lang w:bidi="ar-DZ"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</w:rPr>
        <w:t xml:space="preserve"> </w:t>
      </w:r>
      <w:r>
        <w:rPr>
          <w:color w:val="00B050"/>
          <w:rtl/>
        </w:rPr>
        <w:t xml:space="preserve">  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في عدد من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النصوص الأولى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>، لم يحصرْ(ببرلمان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noBreakHyphen/>
        <w:t xml:space="preserve">تيتكا) استعمال مصطلح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المُحاجَّة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قي المجال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البلاغي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، مثلا في بحث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المنطق والبلاغيَّات(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>1950) ص 3  ورد مايلي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:" لقد بدت لنا اعتبارات سابقة، بأنها كافية حتى نجزم بأن المُحاجَّة البلاغيَّة لا يمكن اختزالها، ولو عن طريق مجهود مُثابر، لردِّها، إمَّا للمُحاج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َّ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ة المنطقيَّة أو لمُجرد الاقتراح"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. </w:t>
      </w:r>
      <w:r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       </w:t>
      </w:r>
    </w:p>
  </w:footnote>
  <w:footnote w:id="15">
    <w:p w:rsidR="00911DF1" w:rsidRDefault="00911DF1" w:rsidP="00911DF1">
      <w:pPr>
        <w:pStyle w:val="FootnoteText"/>
        <w:bidi/>
        <w:jc w:val="both"/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DZ"/>
        </w:rPr>
      </w:pPr>
      <w:r>
        <w:rPr>
          <w:rStyle w:val="FootnoteReference"/>
          <w:color w:val="00B050"/>
          <w:sz w:val="40"/>
          <w:szCs w:val="40"/>
        </w:rPr>
        <w:sym w:font="Symbol" w:char="002A"/>
      </w:r>
      <w:r>
        <w:rPr>
          <w:color w:val="00B050"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عوضا عن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مبدأ التناقض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</w:rPr>
        <w:t xml:space="preserve"> la contradiction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الذي يسفر عنه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 xml:space="preserve">اللَّغو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</w:rPr>
        <w:t xml:space="preserve"> l’absurde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>،</w:t>
      </w:r>
      <w:r>
        <w:rPr>
          <w:rFonts w:ascii="Simplified Arabic" w:hAnsi="Simplified Arabic" w:cs="Simplified Arabic"/>
          <w:color w:val="00B050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تعترف البلاغيَّات بتصور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>التهافت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أو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 xml:space="preserve">التَّمانُع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</w:rPr>
        <w:t>incompatibilité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</w:rPr>
        <w:t>l’</w:t>
      </w:r>
      <w:r>
        <w:rPr>
          <w:rFonts w:ascii="Simplified Arabic" w:hAnsi="Simplified Arabic" w:cs="Simplified Arabic"/>
          <w:color w:val="00B050"/>
          <w:sz w:val="24"/>
          <w:szCs w:val="24"/>
          <w:rtl/>
        </w:rPr>
        <w:t xml:space="preserve"> هذا الذي لا يسفر عنه سوى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  <w:t xml:space="preserve">الضَّحِك أو الاستهزاء 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</w:rPr>
        <w:t>le ridicule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DZ"/>
        </w:rPr>
        <w:t>... </w:t>
      </w:r>
      <w:r>
        <w:rPr>
          <w:rFonts w:ascii="Simplified Arabic" w:hAnsi="Simplified Arabic" w:cs="Simplified Arabic"/>
          <w:b/>
          <w:bCs/>
          <w:color w:val="00B050"/>
          <w:sz w:val="24"/>
          <w:szCs w:val="24"/>
          <w:lang w:bidi="ar-DZ"/>
        </w:rPr>
        <w:t>!!!</w:t>
      </w:r>
      <w:r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  <w:t xml:space="preserve"> </w:t>
      </w:r>
    </w:p>
    <w:p w:rsidR="00911DF1" w:rsidRDefault="00911DF1" w:rsidP="00911DF1">
      <w:pPr>
        <w:pStyle w:val="FootnoteText"/>
        <w:bidi/>
        <w:jc w:val="both"/>
        <w:rPr>
          <w:rtl/>
          <w:lang w:bidi="ar-D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08746"/>
      <w:docPartObj>
        <w:docPartGallery w:val="Page Numbers (Margins)"/>
        <w:docPartUnique/>
      </w:docPartObj>
    </w:sdtPr>
    <w:sdtEndPr/>
    <w:sdtContent>
      <w:p w:rsidR="00911DF1" w:rsidRDefault="00D948AA">
        <w:pPr>
          <w:pStyle w:val="Header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left:0;text-align:left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911DF1" w:rsidRDefault="004240AF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02BE" w:rsidRPr="004A02B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DF1"/>
    <w:rsid w:val="0006759D"/>
    <w:rsid w:val="000D2F0B"/>
    <w:rsid w:val="0021436A"/>
    <w:rsid w:val="00214697"/>
    <w:rsid w:val="002E72D8"/>
    <w:rsid w:val="0033033E"/>
    <w:rsid w:val="0040203E"/>
    <w:rsid w:val="00404BA5"/>
    <w:rsid w:val="004240AF"/>
    <w:rsid w:val="004A02BE"/>
    <w:rsid w:val="004E3A9A"/>
    <w:rsid w:val="005012E2"/>
    <w:rsid w:val="00574FB9"/>
    <w:rsid w:val="006C30F1"/>
    <w:rsid w:val="006C5A6A"/>
    <w:rsid w:val="0071648E"/>
    <w:rsid w:val="007A4066"/>
    <w:rsid w:val="007E7E06"/>
    <w:rsid w:val="008966C8"/>
    <w:rsid w:val="00911DF1"/>
    <w:rsid w:val="00A61DCE"/>
    <w:rsid w:val="00A94675"/>
    <w:rsid w:val="00AA7D68"/>
    <w:rsid w:val="00AF5D97"/>
    <w:rsid w:val="00AF6962"/>
    <w:rsid w:val="00CC49A5"/>
    <w:rsid w:val="00CC57EB"/>
    <w:rsid w:val="00CE7BA1"/>
    <w:rsid w:val="00D46140"/>
    <w:rsid w:val="00D623E4"/>
    <w:rsid w:val="00D9374A"/>
    <w:rsid w:val="00D948AA"/>
    <w:rsid w:val="00F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93E3AA"/>
  <w15:docId w15:val="{B0C33B53-5A21-4CB0-B298-635C591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F1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1DF1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D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1DF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11DF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DF1"/>
  </w:style>
  <w:style w:type="paragraph" w:styleId="Footer">
    <w:name w:val="footer"/>
    <w:basedOn w:val="Normal"/>
    <w:link w:val="FooterChar"/>
    <w:uiPriority w:val="99"/>
    <w:unhideWhenUsed/>
    <w:rsid w:val="00911DF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1808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M-soft</dc:creator>
  <cp:lastModifiedBy>PHILO</cp:lastModifiedBy>
  <cp:revision>8</cp:revision>
  <cp:lastPrinted>2021-01-12T21:05:00Z</cp:lastPrinted>
  <dcterms:created xsi:type="dcterms:W3CDTF">2020-03-24T21:45:00Z</dcterms:created>
  <dcterms:modified xsi:type="dcterms:W3CDTF">2022-05-07T19:54:00Z</dcterms:modified>
</cp:coreProperties>
</file>