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6E" w:rsidRDefault="003D556E" w:rsidP="003D556E">
      <w:pPr>
        <w:spacing w:line="240" w:lineRule="auto"/>
        <w:jc w:val="center"/>
        <w:rPr>
          <w:rFonts w:cstheme="minorHAnsi"/>
          <w:b/>
          <w:bCs/>
          <w:sz w:val="28"/>
          <w:szCs w:val="28"/>
          <w:rtl/>
        </w:rPr>
      </w:pPr>
      <w:r w:rsidRPr="00BA09C9">
        <w:rPr>
          <w:rFonts w:cstheme="minorHAnsi"/>
          <w:b/>
          <w:bCs/>
          <w:sz w:val="28"/>
          <w:szCs w:val="28"/>
          <w:rtl/>
        </w:rPr>
        <w:t>مقياس تكنولوجيا ال</w:t>
      </w:r>
      <w:r>
        <w:rPr>
          <w:rFonts w:cstheme="minorHAnsi"/>
          <w:b/>
          <w:bCs/>
          <w:sz w:val="28"/>
          <w:szCs w:val="28"/>
          <w:rtl/>
        </w:rPr>
        <w:t xml:space="preserve">مواد المستعملة في </w:t>
      </w:r>
      <w:proofErr w:type="gramStart"/>
      <w:r>
        <w:rPr>
          <w:rFonts w:cstheme="minorHAnsi"/>
          <w:b/>
          <w:bCs/>
          <w:sz w:val="28"/>
          <w:szCs w:val="28"/>
          <w:rtl/>
        </w:rPr>
        <w:t>الترميم  --</w:t>
      </w:r>
      <w:r w:rsidRPr="00BA09C9">
        <w:rPr>
          <w:rFonts w:cstheme="minorHAnsi"/>
          <w:b/>
          <w:bCs/>
          <w:sz w:val="28"/>
          <w:szCs w:val="28"/>
          <w:rtl/>
        </w:rPr>
        <w:t>--</w:t>
      </w:r>
      <w:proofErr w:type="gramEnd"/>
      <w:r w:rsidRPr="00BA09C9">
        <w:rPr>
          <w:rFonts w:cstheme="minorHAnsi"/>
          <w:b/>
          <w:bCs/>
          <w:sz w:val="28"/>
          <w:szCs w:val="28"/>
          <w:rtl/>
        </w:rPr>
        <w:t xml:space="preserve"> أستاذ المقياس: </w:t>
      </w:r>
      <w:proofErr w:type="spellStart"/>
      <w:r w:rsidRPr="00BA09C9">
        <w:rPr>
          <w:rFonts w:cstheme="minorHAnsi"/>
          <w:b/>
          <w:bCs/>
          <w:sz w:val="28"/>
          <w:szCs w:val="28"/>
          <w:rtl/>
        </w:rPr>
        <w:t>دة</w:t>
      </w:r>
      <w:proofErr w:type="spellEnd"/>
      <w:r w:rsidRPr="00BA09C9">
        <w:rPr>
          <w:rFonts w:cstheme="minorHAnsi"/>
          <w:b/>
          <w:bCs/>
          <w:sz w:val="28"/>
          <w:szCs w:val="28"/>
          <w:rtl/>
        </w:rPr>
        <w:t xml:space="preserve"> .</w:t>
      </w:r>
      <w:proofErr w:type="spellStart"/>
      <w:r w:rsidRPr="00BA09C9">
        <w:rPr>
          <w:rFonts w:cstheme="minorHAnsi"/>
          <w:b/>
          <w:bCs/>
          <w:sz w:val="28"/>
          <w:szCs w:val="28"/>
          <w:rtl/>
        </w:rPr>
        <w:t>بوزياني</w:t>
      </w:r>
      <w:proofErr w:type="spellEnd"/>
      <w:r w:rsidRPr="00BA09C9">
        <w:rPr>
          <w:rFonts w:cstheme="minorHAnsi"/>
          <w:b/>
          <w:bCs/>
          <w:sz w:val="28"/>
          <w:szCs w:val="28"/>
          <w:rtl/>
        </w:rPr>
        <w:t xml:space="preserve"> فاطمة الزهراء</w:t>
      </w:r>
    </w:p>
    <w:p w:rsidR="003D556E" w:rsidRPr="00BA09C9" w:rsidRDefault="003D556E" w:rsidP="003D556E">
      <w:pPr>
        <w:spacing w:line="240" w:lineRule="auto"/>
        <w:jc w:val="center"/>
        <w:rPr>
          <w:rFonts w:cstheme="minorHAnsi"/>
          <w:b/>
          <w:bCs/>
          <w:sz w:val="28"/>
          <w:szCs w:val="28"/>
          <w:rtl/>
        </w:rPr>
      </w:pPr>
    </w:p>
    <w:p w:rsidR="003D556E" w:rsidRPr="00BA09C9" w:rsidRDefault="003D556E" w:rsidP="003D556E">
      <w:pPr>
        <w:spacing w:after="0" w:line="240" w:lineRule="auto"/>
        <w:jc w:val="center"/>
        <w:rPr>
          <w:rFonts w:cstheme="minorHAnsi"/>
          <w:sz w:val="32"/>
          <w:szCs w:val="32"/>
          <w:rtl/>
        </w:rPr>
      </w:pPr>
      <w:r w:rsidRPr="00BA09C9">
        <w:rPr>
          <w:rFonts w:cstheme="minorHAnsi"/>
          <w:sz w:val="32"/>
          <w:szCs w:val="32"/>
          <w:rtl/>
        </w:rPr>
        <w:t>جامعة تلمسان</w:t>
      </w:r>
    </w:p>
    <w:p w:rsidR="003D556E" w:rsidRPr="00BA09C9" w:rsidRDefault="003D556E" w:rsidP="003D556E">
      <w:pPr>
        <w:spacing w:after="0" w:line="240" w:lineRule="auto"/>
        <w:jc w:val="center"/>
        <w:rPr>
          <w:rFonts w:cstheme="minorHAnsi"/>
          <w:sz w:val="32"/>
          <w:szCs w:val="32"/>
          <w:rtl/>
        </w:rPr>
      </w:pPr>
      <w:r w:rsidRPr="00BA09C9">
        <w:rPr>
          <w:rFonts w:cstheme="minorHAnsi"/>
          <w:sz w:val="32"/>
          <w:szCs w:val="32"/>
          <w:rtl/>
        </w:rPr>
        <w:t>كلية العلوم الإنسانية والعلوم الاجتماعية</w:t>
      </w:r>
    </w:p>
    <w:p w:rsidR="003D556E" w:rsidRDefault="003D556E" w:rsidP="003D556E">
      <w:pPr>
        <w:spacing w:after="0" w:line="240" w:lineRule="auto"/>
        <w:jc w:val="center"/>
        <w:rPr>
          <w:rFonts w:cstheme="minorHAnsi"/>
          <w:sz w:val="32"/>
          <w:szCs w:val="32"/>
          <w:rtl/>
        </w:rPr>
      </w:pPr>
      <w:r w:rsidRPr="00BA09C9">
        <w:rPr>
          <w:rFonts w:cstheme="minorHAnsi"/>
          <w:sz w:val="32"/>
          <w:szCs w:val="32"/>
          <w:rtl/>
        </w:rPr>
        <w:t>قسم علم الآثار</w:t>
      </w:r>
    </w:p>
    <w:p w:rsidR="003D556E" w:rsidRDefault="003D556E" w:rsidP="003D556E">
      <w:pPr>
        <w:spacing w:after="0" w:line="240" w:lineRule="auto"/>
        <w:jc w:val="center"/>
        <w:rPr>
          <w:rFonts w:cstheme="minorHAnsi"/>
          <w:sz w:val="32"/>
          <w:szCs w:val="32"/>
          <w:rtl/>
        </w:rPr>
      </w:pPr>
    </w:p>
    <w:p w:rsidR="003D556E" w:rsidRPr="00BA09C9" w:rsidRDefault="003D556E" w:rsidP="003D556E">
      <w:pPr>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9062"/>
      </w:tblGrid>
      <w:tr w:rsidR="003D556E" w:rsidRPr="00BA09C9" w:rsidTr="00103607">
        <w:tc>
          <w:tcPr>
            <w:tcW w:w="9062" w:type="dxa"/>
          </w:tcPr>
          <w:p w:rsidR="003D556E" w:rsidRDefault="003D556E" w:rsidP="00103607">
            <w:pPr>
              <w:jc w:val="center"/>
              <w:rPr>
                <w:rFonts w:cstheme="minorHAnsi"/>
                <w:sz w:val="32"/>
                <w:szCs w:val="32"/>
                <w:rtl/>
              </w:rPr>
            </w:pPr>
            <w:r w:rsidRPr="00BA09C9">
              <w:rPr>
                <w:rFonts w:cstheme="minorHAnsi"/>
                <w:sz w:val="32"/>
                <w:szCs w:val="32"/>
                <w:rtl/>
              </w:rPr>
              <w:t>قسم علم الآثار       السنة الجامعية 2024/2025</w:t>
            </w:r>
          </w:p>
          <w:p w:rsidR="003D556E" w:rsidRPr="00BA09C9" w:rsidRDefault="003D556E" w:rsidP="00103607">
            <w:pPr>
              <w:jc w:val="center"/>
              <w:rPr>
                <w:rFonts w:cstheme="minorHAnsi"/>
                <w:sz w:val="32"/>
                <w:szCs w:val="32"/>
                <w:rtl/>
              </w:rPr>
            </w:pPr>
          </w:p>
          <w:p w:rsidR="003D556E" w:rsidRDefault="003D556E" w:rsidP="00103607">
            <w:pPr>
              <w:jc w:val="center"/>
              <w:rPr>
                <w:rFonts w:cstheme="minorHAnsi"/>
                <w:sz w:val="32"/>
                <w:szCs w:val="32"/>
                <w:rtl/>
              </w:rPr>
            </w:pPr>
            <w:r w:rsidRPr="00BA09C9">
              <w:rPr>
                <w:rFonts w:cstheme="minorHAnsi"/>
                <w:sz w:val="32"/>
                <w:szCs w:val="32"/>
                <w:rtl/>
              </w:rPr>
              <w:t>المستوى: الماستر 2 صيانة وترميم</w:t>
            </w:r>
          </w:p>
          <w:p w:rsidR="003D556E" w:rsidRPr="00BA09C9" w:rsidRDefault="003D556E" w:rsidP="00103607">
            <w:pPr>
              <w:jc w:val="center"/>
              <w:rPr>
                <w:rFonts w:cstheme="minorHAnsi"/>
                <w:sz w:val="32"/>
                <w:szCs w:val="32"/>
                <w:rtl/>
              </w:rPr>
            </w:pPr>
          </w:p>
          <w:p w:rsidR="003D556E" w:rsidRDefault="003D556E" w:rsidP="00103607">
            <w:pPr>
              <w:jc w:val="center"/>
              <w:rPr>
                <w:rFonts w:cstheme="minorHAnsi"/>
                <w:sz w:val="28"/>
                <w:szCs w:val="28"/>
                <w:rtl/>
              </w:rPr>
            </w:pPr>
            <w:r w:rsidRPr="00BA09C9">
              <w:rPr>
                <w:rFonts w:cstheme="minorHAnsi"/>
                <w:sz w:val="28"/>
                <w:szCs w:val="28"/>
                <w:rtl/>
              </w:rPr>
              <w:t xml:space="preserve">أستاذ المقياس: </w:t>
            </w:r>
            <w:proofErr w:type="spellStart"/>
            <w:proofErr w:type="gramStart"/>
            <w:r w:rsidRPr="00BA09C9">
              <w:rPr>
                <w:rFonts w:cstheme="minorHAnsi"/>
                <w:sz w:val="28"/>
                <w:szCs w:val="28"/>
                <w:rtl/>
              </w:rPr>
              <w:t>دة</w:t>
            </w:r>
            <w:proofErr w:type="spellEnd"/>
            <w:r w:rsidRPr="00BA09C9">
              <w:rPr>
                <w:rFonts w:cstheme="minorHAnsi"/>
                <w:sz w:val="28"/>
                <w:szCs w:val="28"/>
                <w:rtl/>
              </w:rPr>
              <w:t xml:space="preserve"> .</w:t>
            </w:r>
            <w:proofErr w:type="spellStart"/>
            <w:r w:rsidRPr="00BA09C9">
              <w:rPr>
                <w:rFonts w:cstheme="minorHAnsi"/>
                <w:sz w:val="28"/>
                <w:szCs w:val="28"/>
                <w:rtl/>
              </w:rPr>
              <w:t>بوزياني</w:t>
            </w:r>
            <w:proofErr w:type="spellEnd"/>
            <w:proofErr w:type="gramEnd"/>
            <w:r w:rsidRPr="00BA09C9">
              <w:rPr>
                <w:rFonts w:cstheme="minorHAnsi"/>
                <w:sz w:val="28"/>
                <w:szCs w:val="28"/>
                <w:rtl/>
              </w:rPr>
              <w:t xml:space="preserve"> فاطمة الزهراء</w:t>
            </w:r>
          </w:p>
          <w:p w:rsidR="003D556E" w:rsidRDefault="003D556E" w:rsidP="00103607">
            <w:pPr>
              <w:jc w:val="center"/>
              <w:rPr>
                <w:rFonts w:cstheme="minorHAnsi"/>
                <w:sz w:val="28"/>
                <w:szCs w:val="28"/>
                <w:rtl/>
              </w:rPr>
            </w:pPr>
          </w:p>
          <w:p w:rsidR="003D556E" w:rsidRPr="003D556E" w:rsidRDefault="003D556E" w:rsidP="00103607">
            <w:pPr>
              <w:jc w:val="center"/>
              <w:rPr>
                <w:rFonts w:cstheme="minorHAnsi"/>
                <w:sz w:val="32"/>
                <w:szCs w:val="32"/>
                <w:rtl/>
              </w:rPr>
            </w:pPr>
          </w:p>
          <w:p w:rsidR="003D556E" w:rsidRPr="003D556E" w:rsidRDefault="003D556E" w:rsidP="003D556E">
            <w:pPr>
              <w:bidi/>
              <w:spacing w:line="360" w:lineRule="auto"/>
              <w:jc w:val="center"/>
              <w:rPr>
                <w:rFonts w:cstheme="minorHAnsi"/>
                <w:b/>
                <w:bCs/>
                <w:color w:val="FF0000"/>
                <w:sz w:val="32"/>
                <w:szCs w:val="32"/>
                <w:u w:val="single"/>
                <w:rtl/>
                <w:lang w:bidi="ar-DZ"/>
              </w:rPr>
            </w:pPr>
            <w:r w:rsidRPr="003D556E">
              <w:rPr>
                <w:rFonts w:cstheme="minorHAnsi"/>
                <w:b/>
                <w:bCs/>
                <w:i/>
                <w:iCs/>
                <w:color w:val="FF0000"/>
                <w:sz w:val="32"/>
                <w:szCs w:val="32"/>
                <w:u w:val="single"/>
                <w:rtl/>
              </w:rPr>
              <w:t>عنوان الدرس:</w:t>
            </w:r>
            <w:r w:rsidRPr="003D556E">
              <w:rPr>
                <w:rFonts w:cstheme="minorHAnsi"/>
                <w:b/>
                <w:bCs/>
                <w:color w:val="FF0000"/>
                <w:sz w:val="32"/>
                <w:szCs w:val="32"/>
                <w:u w:val="single"/>
                <w:rtl/>
                <w:lang w:bidi="ar-DZ"/>
              </w:rPr>
              <w:t xml:space="preserve"> </w:t>
            </w:r>
            <w:r w:rsidRPr="003D556E">
              <w:rPr>
                <w:rFonts w:cstheme="minorHAnsi"/>
                <w:b/>
                <w:bCs/>
                <w:color w:val="FF0000"/>
                <w:sz w:val="32"/>
                <w:szCs w:val="32"/>
                <w:u w:val="single"/>
                <w:rtl/>
                <w:lang w:bidi="ar-DZ"/>
              </w:rPr>
              <w:t>تطبيقات غير ملائمة في ترميم المباني:</w:t>
            </w:r>
          </w:p>
          <w:p w:rsidR="003D556E" w:rsidRPr="00565EAF" w:rsidRDefault="003D556E" w:rsidP="00103607">
            <w:pPr>
              <w:jc w:val="center"/>
              <w:rPr>
                <w:rFonts w:cstheme="minorHAnsi"/>
                <w:b/>
                <w:bCs/>
                <w:i/>
                <w:iCs/>
                <w:color w:val="FF0000"/>
                <w:sz w:val="32"/>
                <w:szCs w:val="32"/>
                <w:u w:val="single"/>
                <w:rtl/>
                <w:lang w:bidi="ar-DZ"/>
              </w:rPr>
            </w:pPr>
          </w:p>
          <w:p w:rsidR="003D556E" w:rsidRPr="00BA09C9" w:rsidRDefault="003D556E" w:rsidP="00103607">
            <w:pPr>
              <w:jc w:val="center"/>
              <w:rPr>
                <w:rFonts w:cstheme="minorHAnsi"/>
                <w:sz w:val="32"/>
                <w:szCs w:val="32"/>
                <w:rtl/>
                <w:lang w:bidi="ar-DZ"/>
              </w:rPr>
            </w:pPr>
          </w:p>
        </w:tc>
      </w:tr>
    </w:tbl>
    <w:p w:rsidR="003D556E" w:rsidRDefault="003D556E" w:rsidP="003D556E">
      <w:pPr>
        <w:spacing w:line="240" w:lineRule="auto"/>
        <w:rPr>
          <w:rFonts w:ascii="Simplified Arabic" w:hAnsi="Simplified Arabic" w:cs="Simplified Arabic"/>
          <w:sz w:val="32"/>
          <w:szCs w:val="32"/>
          <w:rtl/>
        </w:rPr>
      </w:pPr>
    </w:p>
    <w:p w:rsidR="003D556E" w:rsidRDefault="003D556E" w:rsidP="00D67DAC">
      <w:pPr>
        <w:bidi/>
        <w:spacing w:line="240" w:lineRule="auto"/>
        <w:jc w:val="both"/>
        <w:rPr>
          <w:rFonts w:ascii="Simplified Arabic" w:hAnsi="Simplified Arabic" w:cs="Simplified Arabic"/>
          <w:sz w:val="32"/>
          <w:szCs w:val="32"/>
          <w:rtl/>
        </w:rPr>
      </w:pPr>
      <w:r w:rsidRPr="00BA09C9">
        <w:rPr>
          <w:rFonts w:ascii="Simplified Arabic" w:hAnsi="Simplified Arabic" w:cs="Simplified Arabic" w:hint="cs"/>
          <w:sz w:val="32"/>
          <w:szCs w:val="32"/>
          <w:rtl/>
        </w:rPr>
        <w:t>عناصر الدرس:</w:t>
      </w:r>
    </w:p>
    <w:tbl>
      <w:tblPr>
        <w:tblStyle w:val="Grilledutableau"/>
        <w:bidiVisual/>
        <w:tblW w:w="0" w:type="auto"/>
        <w:tblLook w:val="04A0" w:firstRow="1" w:lastRow="0" w:firstColumn="1" w:lastColumn="0" w:noHBand="0" w:noVBand="1"/>
      </w:tblPr>
      <w:tblGrid>
        <w:gridCol w:w="8329"/>
      </w:tblGrid>
      <w:tr w:rsidR="003D556E" w:rsidRPr="00D67DAC" w:rsidTr="00D67DAC">
        <w:trPr>
          <w:trHeight w:val="494"/>
        </w:trPr>
        <w:tc>
          <w:tcPr>
            <w:tcW w:w="8329" w:type="dxa"/>
          </w:tcPr>
          <w:p w:rsidR="003D556E" w:rsidRPr="00D67DAC" w:rsidRDefault="003D556E" w:rsidP="00D67DAC">
            <w:pPr>
              <w:bidi/>
              <w:rPr>
                <w:rFonts w:cs="Naskh3 Bold"/>
                <w:b/>
                <w:bCs/>
                <w:sz w:val="32"/>
                <w:szCs w:val="32"/>
                <w:u w:val="single"/>
                <w:rtl/>
                <w:lang w:bidi="ar-DZ"/>
              </w:rPr>
            </w:pPr>
            <w:r w:rsidRPr="00D67DAC">
              <w:rPr>
                <w:rFonts w:cs="Naskh3 Bold" w:hint="cs"/>
                <w:b/>
                <w:bCs/>
                <w:sz w:val="32"/>
                <w:szCs w:val="32"/>
                <w:u w:val="single"/>
                <w:rtl/>
                <w:lang w:bidi="ar-DZ"/>
              </w:rPr>
              <w:t xml:space="preserve"> </w:t>
            </w:r>
            <w:r w:rsidR="00D67DAC" w:rsidRPr="00D67DAC">
              <w:rPr>
                <w:rFonts w:hint="cs"/>
                <w:b/>
                <w:bCs/>
                <w:sz w:val="32"/>
                <w:szCs w:val="32"/>
                <w:u w:val="single"/>
                <w:rtl/>
                <w:lang w:bidi="ar-DZ"/>
              </w:rPr>
              <w:t>التنظيف بالأحماض أو القلويات المركزة</w:t>
            </w:r>
          </w:p>
        </w:tc>
      </w:tr>
      <w:tr w:rsidR="003D556E" w:rsidRPr="00D67DAC" w:rsidTr="00D67DAC">
        <w:trPr>
          <w:trHeight w:val="510"/>
        </w:trPr>
        <w:tc>
          <w:tcPr>
            <w:tcW w:w="8329" w:type="dxa"/>
          </w:tcPr>
          <w:p w:rsidR="003D556E" w:rsidRPr="00D67DAC" w:rsidRDefault="00D67DAC" w:rsidP="00D67DAC">
            <w:pPr>
              <w:bidi/>
              <w:rPr>
                <w:b/>
                <w:bCs/>
                <w:sz w:val="32"/>
                <w:szCs w:val="32"/>
                <w:u w:val="single"/>
                <w:lang w:bidi="ar-DZ"/>
              </w:rPr>
            </w:pPr>
            <w:r w:rsidRPr="00D67DAC">
              <w:rPr>
                <w:rFonts w:hint="cs"/>
                <w:b/>
                <w:bCs/>
                <w:sz w:val="32"/>
                <w:szCs w:val="32"/>
                <w:u w:val="single"/>
                <w:rtl/>
                <w:lang w:bidi="ar-DZ"/>
              </w:rPr>
              <w:t xml:space="preserve">استخدام مادة الاسمنت </w:t>
            </w:r>
            <w:bookmarkStart w:id="0" w:name="_GoBack"/>
            <w:bookmarkEnd w:id="0"/>
          </w:p>
          <w:p w:rsidR="00D67DAC" w:rsidRPr="00D67DAC" w:rsidRDefault="00D67DAC" w:rsidP="00D67DAC">
            <w:pPr>
              <w:pStyle w:val="Paragraphedeliste"/>
              <w:numPr>
                <w:ilvl w:val="0"/>
                <w:numId w:val="7"/>
              </w:numPr>
              <w:bidi/>
              <w:rPr>
                <w:sz w:val="32"/>
                <w:szCs w:val="32"/>
                <w:lang w:bidi="ar-DZ"/>
              </w:rPr>
            </w:pPr>
            <w:r w:rsidRPr="00D67DAC">
              <w:rPr>
                <w:rFonts w:hint="cs"/>
                <w:sz w:val="32"/>
                <w:szCs w:val="32"/>
                <w:rtl/>
                <w:lang w:bidi="ar-DZ"/>
              </w:rPr>
              <w:t xml:space="preserve">الاسمنت </w:t>
            </w:r>
            <w:proofErr w:type="spellStart"/>
            <w:r w:rsidRPr="00D67DAC">
              <w:rPr>
                <w:rFonts w:hint="cs"/>
                <w:sz w:val="32"/>
                <w:szCs w:val="32"/>
                <w:rtl/>
                <w:lang w:bidi="ar-DZ"/>
              </w:rPr>
              <w:t>البورتلاندي</w:t>
            </w:r>
            <w:proofErr w:type="spellEnd"/>
            <w:r w:rsidRPr="00D67DAC">
              <w:rPr>
                <w:rFonts w:hint="cs"/>
                <w:sz w:val="32"/>
                <w:szCs w:val="32"/>
                <w:rtl/>
                <w:lang w:bidi="ar-DZ"/>
              </w:rPr>
              <w:t>.</w:t>
            </w:r>
          </w:p>
          <w:p w:rsidR="00D67DAC" w:rsidRPr="00D67DAC" w:rsidRDefault="00D67DAC" w:rsidP="00D67DAC">
            <w:pPr>
              <w:pStyle w:val="Paragraphedeliste"/>
              <w:numPr>
                <w:ilvl w:val="0"/>
                <w:numId w:val="7"/>
              </w:numPr>
              <w:bidi/>
              <w:rPr>
                <w:sz w:val="32"/>
                <w:szCs w:val="32"/>
                <w:lang w:bidi="ar-DZ"/>
              </w:rPr>
            </w:pPr>
            <w:r w:rsidRPr="00D67DAC">
              <w:rPr>
                <w:sz w:val="32"/>
                <w:szCs w:val="32"/>
                <w:lang w:bidi="ar-DZ"/>
              </w:rPr>
              <w:t xml:space="preserve"> </w:t>
            </w:r>
            <w:r w:rsidRPr="00D67DAC">
              <w:rPr>
                <w:rFonts w:hint="cs"/>
                <w:sz w:val="32"/>
                <w:szCs w:val="32"/>
                <w:rtl/>
                <w:lang w:bidi="ar-DZ"/>
              </w:rPr>
              <w:t>الاسمنت الأبيض</w:t>
            </w:r>
            <w:r w:rsidRPr="00D67DAC">
              <w:rPr>
                <w:rFonts w:hint="cs"/>
                <w:sz w:val="32"/>
                <w:szCs w:val="32"/>
                <w:rtl/>
                <w:lang w:bidi="ar-DZ"/>
              </w:rPr>
              <w:t>.</w:t>
            </w:r>
          </w:p>
          <w:p w:rsidR="00D67DAC" w:rsidRPr="00D67DAC" w:rsidRDefault="00D67DAC" w:rsidP="00D67DAC">
            <w:pPr>
              <w:pStyle w:val="Paragraphedeliste"/>
              <w:numPr>
                <w:ilvl w:val="0"/>
                <w:numId w:val="7"/>
              </w:numPr>
              <w:bidi/>
              <w:rPr>
                <w:b/>
                <w:bCs/>
                <w:sz w:val="32"/>
                <w:szCs w:val="32"/>
                <w:rtl/>
                <w:lang w:bidi="ar-DZ"/>
              </w:rPr>
            </w:pPr>
            <w:r w:rsidRPr="00D67DAC">
              <w:rPr>
                <w:rFonts w:hint="cs"/>
                <w:sz w:val="32"/>
                <w:szCs w:val="32"/>
                <w:rtl/>
                <w:lang w:bidi="ar-DZ"/>
              </w:rPr>
              <w:t xml:space="preserve">إسمنت </w:t>
            </w:r>
            <w:proofErr w:type="spellStart"/>
            <w:r w:rsidRPr="00D67DAC">
              <w:rPr>
                <w:rFonts w:hint="cs"/>
                <w:sz w:val="32"/>
                <w:szCs w:val="32"/>
                <w:rtl/>
                <w:lang w:bidi="ar-DZ"/>
              </w:rPr>
              <w:t>الألومينا</w:t>
            </w:r>
            <w:proofErr w:type="spellEnd"/>
            <w:r w:rsidRPr="00D67DAC">
              <w:rPr>
                <w:rFonts w:hint="cs"/>
                <w:sz w:val="32"/>
                <w:szCs w:val="32"/>
                <w:rtl/>
                <w:lang w:bidi="ar-DZ"/>
              </w:rPr>
              <w:t>.</w:t>
            </w:r>
          </w:p>
        </w:tc>
      </w:tr>
      <w:tr w:rsidR="00D67DAC" w:rsidRPr="00D67DAC" w:rsidTr="00D67DAC">
        <w:trPr>
          <w:trHeight w:val="510"/>
        </w:trPr>
        <w:tc>
          <w:tcPr>
            <w:tcW w:w="8329" w:type="dxa"/>
          </w:tcPr>
          <w:p w:rsidR="00D67DAC" w:rsidRPr="00D67DAC" w:rsidRDefault="00D67DAC" w:rsidP="00D67DAC">
            <w:pPr>
              <w:bidi/>
              <w:rPr>
                <w:b/>
                <w:bCs/>
              </w:rPr>
            </w:pPr>
            <w:r w:rsidRPr="00D67DAC">
              <w:rPr>
                <w:rFonts w:hint="cs"/>
                <w:b/>
                <w:bCs/>
                <w:sz w:val="32"/>
                <w:szCs w:val="32"/>
                <w:u w:val="single"/>
                <w:rtl/>
                <w:lang w:bidi="ar-DZ"/>
              </w:rPr>
              <w:t xml:space="preserve">الخرسانة المسلحة: </w:t>
            </w:r>
          </w:p>
        </w:tc>
      </w:tr>
    </w:tbl>
    <w:p w:rsidR="003D556E" w:rsidRDefault="003D556E" w:rsidP="003D556E">
      <w:pPr>
        <w:jc w:val="both"/>
        <w:rPr>
          <w:rFonts w:ascii="Simplified Arabic" w:hAnsi="Simplified Arabic" w:cs="Simplified Arabic"/>
          <w:b/>
          <w:bCs/>
          <w:color w:val="92D050"/>
          <w:sz w:val="32"/>
          <w:szCs w:val="32"/>
          <w:u w:val="single"/>
          <w:rtl/>
        </w:rPr>
      </w:pPr>
    </w:p>
    <w:p w:rsidR="003D556E" w:rsidRDefault="003D556E" w:rsidP="003D556E">
      <w:pPr>
        <w:rPr>
          <w:b/>
          <w:bCs/>
          <w:color w:val="00B050"/>
          <w:sz w:val="32"/>
          <w:szCs w:val="32"/>
          <w:u w:val="single"/>
        </w:rPr>
      </w:pPr>
    </w:p>
    <w:p w:rsidR="00F90D33" w:rsidRDefault="00F90D33" w:rsidP="00A31982">
      <w:pPr>
        <w:bidi/>
        <w:spacing w:line="360" w:lineRule="auto"/>
        <w:rPr>
          <w:color w:val="FF0000"/>
          <w:sz w:val="32"/>
          <w:szCs w:val="32"/>
          <w:u w:val="single"/>
          <w:lang w:bidi="ar-DZ"/>
        </w:rPr>
      </w:pPr>
    </w:p>
    <w:p w:rsidR="00D67DAC" w:rsidRDefault="00D67DAC" w:rsidP="00D67DAC">
      <w:pPr>
        <w:bidi/>
        <w:spacing w:line="360" w:lineRule="auto"/>
        <w:rPr>
          <w:color w:val="FF0000"/>
          <w:sz w:val="32"/>
          <w:szCs w:val="32"/>
          <w:u w:val="single"/>
          <w:lang w:bidi="ar-DZ"/>
        </w:rPr>
      </w:pPr>
    </w:p>
    <w:p w:rsidR="00D67DAC" w:rsidRPr="003D556E" w:rsidRDefault="00D67DAC" w:rsidP="00D67DAC">
      <w:pPr>
        <w:bidi/>
        <w:spacing w:line="360" w:lineRule="auto"/>
        <w:rPr>
          <w:color w:val="FF0000"/>
          <w:sz w:val="32"/>
          <w:szCs w:val="32"/>
          <w:u w:val="single"/>
          <w:rtl/>
          <w:lang w:bidi="ar-DZ"/>
        </w:rPr>
      </w:pPr>
    </w:p>
    <w:p w:rsidR="00A31982" w:rsidRDefault="00A31982" w:rsidP="00A31982">
      <w:pPr>
        <w:bidi/>
        <w:spacing w:line="360" w:lineRule="auto"/>
        <w:rPr>
          <w:color w:val="FF0000"/>
          <w:sz w:val="32"/>
          <w:szCs w:val="32"/>
          <w:u w:val="single"/>
          <w:rtl/>
          <w:lang w:bidi="ar-DZ"/>
        </w:rPr>
      </w:pPr>
    </w:p>
    <w:p w:rsidR="00A31982" w:rsidRDefault="00A31982" w:rsidP="00A31982">
      <w:pPr>
        <w:bidi/>
        <w:spacing w:line="360" w:lineRule="auto"/>
        <w:rPr>
          <w:sz w:val="32"/>
          <w:szCs w:val="32"/>
          <w:rtl/>
          <w:lang w:bidi="ar-DZ"/>
        </w:rPr>
      </w:pPr>
      <w:r>
        <w:rPr>
          <w:rFonts w:hint="cs"/>
          <w:sz w:val="32"/>
          <w:szCs w:val="32"/>
          <w:rtl/>
          <w:lang w:bidi="ar-DZ"/>
        </w:rPr>
        <w:t>إن العديد من التقنيات المطبقة في الوقت الحاضر من اجل ترميم وصيانة المباني الأثرية غبر ملائمة نذكر منها:</w:t>
      </w:r>
    </w:p>
    <w:p w:rsidR="00A31982" w:rsidRDefault="00D6523A" w:rsidP="00D6523A">
      <w:pPr>
        <w:pStyle w:val="Paragraphedeliste"/>
        <w:numPr>
          <w:ilvl w:val="0"/>
          <w:numId w:val="1"/>
        </w:numPr>
        <w:bidi/>
        <w:spacing w:line="360" w:lineRule="auto"/>
        <w:rPr>
          <w:sz w:val="32"/>
          <w:szCs w:val="32"/>
          <w:lang w:bidi="ar-DZ"/>
        </w:rPr>
      </w:pPr>
      <w:r w:rsidRPr="00CC7826">
        <w:rPr>
          <w:rFonts w:hint="cs"/>
          <w:sz w:val="32"/>
          <w:szCs w:val="32"/>
          <w:u w:val="single"/>
          <w:rtl/>
          <w:lang w:bidi="ar-DZ"/>
        </w:rPr>
        <w:t>التنظيف بالأحماض أو القلويات المركزة</w:t>
      </w:r>
      <w:r>
        <w:rPr>
          <w:rFonts w:hint="cs"/>
          <w:sz w:val="32"/>
          <w:szCs w:val="32"/>
          <w:rtl/>
          <w:lang w:bidi="ar-DZ"/>
        </w:rPr>
        <w:t>: قد تتلف الأحماض الطوب أو الحجارة خلال عملية التنظيف إذ تتلف العديد منها خاصة الحجارة الجيرية</w:t>
      </w:r>
      <w:r w:rsidR="00BE184B">
        <w:rPr>
          <w:rFonts w:hint="cs"/>
          <w:sz w:val="32"/>
          <w:szCs w:val="32"/>
          <w:rtl/>
          <w:lang w:bidi="ar-DZ"/>
        </w:rPr>
        <w:t xml:space="preserve"> </w:t>
      </w:r>
      <w:r>
        <w:rPr>
          <w:rFonts w:hint="cs"/>
          <w:sz w:val="32"/>
          <w:szCs w:val="32"/>
          <w:rtl/>
          <w:lang w:bidi="ar-DZ"/>
        </w:rPr>
        <w:t xml:space="preserve">بسبب التفاعلات الكيميائية (تبلور الأملاح). </w:t>
      </w:r>
      <w:r w:rsidR="008522E5">
        <w:rPr>
          <w:rFonts w:hint="cs"/>
          <w:sz w:val="32"/>
          <w:szCs w:val="32"/>
          <w:rtl/>
          <w:lang w:bidi="ar-DZ"/>
        </w:rPr>
        <w:t xml:space="preserve"> كما أن القلويات(كالصودا الكاوية</w:t>
      </w:r>
      <w:r w:rsidR="00BE184B">
        <w:rPr>
          <w:rFonts w:hint="cs"/>
          <w:sz w:val="32"/>
          <w:szCs w:val="32"/>
          <w:rtl/>
          <w:lang w:bidi="ar-DZ"/>
        </w:rPr>
        <w:t xml:space="preserve"> </w:t>
      </w:r>
      <w:proofErr w:type="spellStart"/>
      <w:r w:rsidR="00BE184B">
        <w:rPr>
          <w:rFonts w:hint="cs"/>
          <w:sz w:val="32"/>
          <w:szCs w:val="32"/>
          <w:rtl/>
          <w:lang w:bidi="ar-DZ"/>
        </w:rPr>
        <w:t>والبوتاسا</w:t>
      </w:r>
      <w:proofErr w:type="spellEnd"/>
      <w:r w:rsidR="00BE184B">
        <w:rPr>
          <w:rFonts w:hint="cs"/>
          <w:sz w:val="32"/>
          <w:szCs w:val="32"/>
          <w:rtl/>
          <w:lang w:bidi="ar-DZ"/>
        </w:rPr>
        <w:t xml:space="preserve"> الكاوية</w:t>
      </w:r>
      <w:r w:rsidR="008522E5">
        <w:rPr>
          <w:rFonts w:hint="cs"/>
          <w:sz w:val="32"/>
          <w:szCs w:val="32"/>
          <w:rtl/>
          <w:lang w:bidi="ar-DZ"/>
        </w:rPr>
        <w:t>)  تعمل على ظهور إجهادات داخلية بالبناء.</w:t>
      </w:r>
    </w:p>
    <w:p w:rsidR="00D6523A" w:rsidRDefault="00B10EBD" w:rsidP="00D6523A">
      <w:pPr>
        <w:pStyle w:val="Paragraphedeliste"/>
        <w:numPr>
          <w:ilvl w:val="0"/>
          <w:numId w:val="1"/>
        </w:numPr>
        <w:bidi/>
        <w:spacing w:line="360" w:lineRule="auto"/>
        <w:rPr>
          <w:sz w:val="32"/>
          <w:szCs w:val="32"/>
          <w:lang w:bidi="ar-DZ"/>
        </w:rPr>
      </w:pPr>
      <w:r w:rsidRPr="00CC7826">
        <w:rPr>
          <w:rFonts w:hint="cs"/>
          <w:sz w:val="32"/>
          <w:szCs w:val="32"/>
          <w:u w:val="single"/>
          <w:rtl/>
          <w:lang w:bidi="ar-DZ"/>
        </w:rPr>
        <w:t>استخدام مادة الاسمنت (الروابط):</w:t>
      </w:r>
      <w:r>
        <w:rPr>
          <w:rFonts w:hint="cs"/>
          <w:sz w:val="32"/>
          <w:szCs w:val="32"/>
          <w:rtl/>
          <w:lang w:bidi="ar-DZ"/>
        </w:rPr>
        <w:t xml:space="preserve"> يعتبر الاسمنت مادة رابطة تدخل في البناء بين الكتل الحجرية ولها أنواع كثيرة منها:</w:t>
      </w:r>
    </w:p>
    <w:p w:rsidR="00B10EBD" w:rsidRDefault="00B10EBD" w:rsidP="00BE184B">
      <w:pPr>
        <w:pStyle w:val="Paragraphedeliste"/>
        <w:numPr>
          <w:ilvl w:val="0"/>
          <w:numId w:val="2"/>
        </w:numPr>
        <w:bidi/>
        <w:spacing w:line="360" w:lineRule="auto"/>
        <w:rPr>
          <w:sz w:val="32"/>
          <w:szCs w:val="32"/>
          <w:lang w:bidi="ar-DZ"/>
        </w:rPr>
      </w:pPr>
      <w:r>
        <w:rPr>
          <w:rFonts w:hint="cs"/>
          <w:sz w:val="32"/>
          <w:szCs w:val="32"/>
          <w:rtl/>
          <w:lang w:bidi="ar-DZ"/>
        </w:rPr>
        <w:t xml:space="preserve">الاسمنت </w:t>
      </w:r>
      <w:proofErr w:type="spellStart"/>
      <w:r>
        <w:rPr>
          <w:rFonts w:hint="cs"/>
          <w:sz w:val="32"/>
          <w:szCs w:val="32"/>
          <w:rtl/>
          <w:lang w:bidi="ar-DZ"/>
        </w:rPr>
        <w:t>البورتلاندي</w:t>
      </w:r>
      <w:proofErr w:type="spellEnd"/>
      <w:r>
        <w:rPr>
          <w:rFonts w:hint="cs"/>
          <w:sz w:val="32"/>
          <w:szCs w:val="32"/>
          <w:rtl/>
          <w:lang w:bidi="ar-DZ"/>
        </w:rPr>
        <w:t>: هو مسحوق رمادي اللون ناعم الملمس، والسبب وراء هذا اللون هو وجود أكسيد الحديد بالدرجة الأولى، وعند عمل عجينة من الاسمنت والماء تتكون كتلة لدنة سهلة الاستخدام في البناء تتصلب نتيجة تفاعل الاسمنت مع الماء لتتكون كتلة متصلبة والزمن المناسب لجفافها وتصلبها يكون لأيام.</w:t>
      </w:r>
      <w:r w:rsidR="00BE184B">
        <w:rPr>
          <w:rFonts w:hint="cs"/>
          <w:sz w:val="32"/>
          <w:szCs w:val="32"/>
          <w:rtl/>
          <w:lang w:bidi="ar-DZ"/>
        </w:rPr>
        <w:t xml:space="preserve">، ومن عيوب الاسمنت </w:t>
      </w:r>
      <w:proofErr w:type="spellStart"/>
      <w:r w:rsidR="00BE184B">
        <w:rPr>
          <w:rFonts w:hint="cs"/>
          <w:sz w:val="32"/>
          <w:szCs w:val="32"/>
          <w:rtl/>
          <w:lang w:bidi="ar-DZ"/>
        </w:rPr>
        <w:t>البورتلاندي</w:t>
      </w:r>
      <w:proofErr w:type="spellEnd"/>
      <w:r w:rsidR="00BE184B">
        <w:rPr>
          <w:rFonts w:hint="cs"/>
          <w:sz w:val="32"/>
          <w:szCs w:val="32"/>
          <w:rtl/>
          <w:lang w:bidi="ar-DZ"/>
        </w:rPr>
        <w:t xml:space="preserve"> إذا دخل مسام مواد بناء المباني القديمة بطريقة ما فإنه يُحدث العديد من الأضرار منها: ظهور بقع سوداء على سطح الحجر بسبب تأثير القلويات على بعض معادن الحجر الجيري والرملي</w:t>
      </w:r>
      <w:r>
        <w:rPr>
          <w:rFonts w:hint="cs"/>
          <w:sz w:val="32"/>
          <w:szCs w:val="32"/>
          <w:rtl/>
          <w:lang w:bidi="ar-DZ"/>
        </w:rPr>
        <w:t>.</w:t>
      </w:r>
    </w:p>
    <w:p w:rsidR="00B10EBD" w:rsidRDefault="00B10EBD" w:rsidP="00B10EBD">
      <w:pPr>
        <w:pStyle w:val="Paragraphedeliste"/>
        <w:numPr>
          <w:ilvl w:val="0"/>
          <w:numId w:val="2"/>
        </w:numPr>
        <w:bidi/>
        <w:spacing w:line="360" w:lineRule="auto"/>
        <w:rPr>
          <w:sz w:val="32"/>
          <w:szCs w:val="32"/>
          <w:lang w:bidi="ar-DZ"/>
        </w:rPr>
      </w:pPr>
      <w:r>
        <w:rPr>
          <w:rFonts w:hint="cs"/>
          <w:sz w:val="32"/>
          <w:szCs w:val="32"/>
          <w:rtl/>
          <w:lang w:bidi="ar-DZ"/>
        </w:rPr>
        <w:t xml:space="preserve">الاسمنت </w:t>
      </w:r>
      <w:r w:rsidR="00CC7826">
        <w:rPr>
          <w:rFonts w:hint="cs"/>
          <w:sz w:val="32"/>
          <w:szCs w:val="32"/>
          <w:rtl/>
          <w:lang w:bidi="ar-DZ"/>
        </w:rPr>
        <w:t>الأبيض</w:t>
      </w:r>
      <w:r>
        <w:rPr>
          <w:rFonts w:hint="cs"/>
          <w:sz w:val="32"/>
          <w:szCs w:val="32"/>
          <w:rtl/>
          <w:lang w:bidi="ar-DZ"/>
        </w:rPr>
        <w:t>: هو مشابه للاسمنت البورتلاندي إلا أن نسبة أكسيد الحديد وأكسيد المنغنيز قليلة.</w:t>
      </w:r>
    </w:p>
    <w:p w:rsidR="00B10EBD" w:rsidRDefault="00B10EBD" w:rsidP="00B10EBD">
      <w:pPr>
        <w:pStyle w:val="Paragraphedeliste"/>
        <w:numPr>
          <w:ilvl w:val="0"/>
          <w:numId w:val="2"/>
        </w:numPr>
        <w:bidi/>
        <w:spacing w:line="360" w:lineRule="auto"/>
        <w:rPr>
          <w:sz w:val="32"/>
          <w:szCs w:val="32"/>
          <w:lang w:bidi="ar-DZ"/>
        </w:rPr>
      </w:pPr>
      <w:r>
        <w:rPr>
          <w:rFonts w:hint="cs"/>
          <w:sz w:val="32"/>
          <w:szCs w:val="32"/>
          <w:rtl/>
          <w:lang w:bidi="ar-DZ"/>
        </w:rPr>
        <w:t xml:space="preserve">إسمنت الألومينا(الاسمنت السريع التصلب): يحتوي هذا الإسمنت على نسبة عالية من أكسيد الألمنيوم. </w:t>
      </w:r>
    </w:p>
    <w:p w:rsidR="00CC7826" w:rsidRDefault="00CC7826" w:rsidP="00BE184B">
      <w:pPr>
        <w:pStyle w:val="Paragraphedeliste"/>
        <w:bidi/>
        <w:spacing w:line="360" w:lineRule="auto"/>
        <w:ind w:left="1080"/>
        <w:jc w:val="both"/>
        <w:rPr>
          <w:sz w:val="32"/>
          <w:szCs w:val="32"/>
          <w:rtl/>
          <w:lang w:bidi="ar-DZ"/>
        </w:rPr>
      </w:pPr>
      <w:r>
        <w:rPr>
          <w:rFonts w:hint="cs"/>
          <w:sz w:val="32"/>
          <w:szCs w:val="32"/>
          <w:rtl/>
          <w:lang w:bidi="ar-DZ"/>
        </w:rPr>
        <w:t xml:space="preserve">ينجم عن </w:t>
      </w:r>
      <w:r w:rsidR="0072736F">
        <w:rPr>
          <w:rFonts w:hint="cs"/>
          <w:sz w:val="32"/>
          <w:szCs w:val="32"/>
          <w:rtl/>
          <w:lang w:bidi="ar-DZ"/>
        </w:rPr>
        <w:t xml:space="preserve"> استخدام مادة الاسمنت في ا</w:t>
      </w:r>
      <w:r>
        <w:rPr>
          <w:rFonts w:hint="cs"/>
          <w:sz w:val="32"/>
          <w:szCs w:val="32"/>
          <w:rtl/>
          <w:lang w:bidi="ar-DZ"/>
        </w:rPr>
        <w:t>لمباني القديمة العديد من الاجهاض</w:t>
      </w:r>
      <w:r w:rsidR="0072736F">
        <w:rPr>
          <w:rFonts w:hint="cs"/>
          <w:sz w:val="32"/>
          <w:szCs w:val="32"/>
          <w:rtl/>
          <w:lang w:bidi="ar-DZ"/>
        </w:rPr>
        <w:t xml:space="preserve">ات الداخلية كما أنه يضعف من خصائص المادة الأصلية، </w:t>
      </w:r>
      <w:r>
        <w:rPr>
          <w:rFonts w:hint="cs"/>
          <w:sz w:val="32"/>
          <w:szCs w:val="32"/>
          <w:rtl/>
          <w:lang w:bidi="ar-DZ"/>
        </w:rPr>
        <w:t>و</w:t>
      </w:r>
      <w:r w:rsidR="0072736F">
        <w:rPr>
          <w:rFonts w:hint="cs"/>
          <w:sz w:val="32"/>
          <w:szCs w:val="32"/>
          <w:rtl/>
          <w:lang w:bidi="ar-DZ"/>
        </w:rPr>
        <w:t xml:space="preserve">من الصعب إزالته في </w:t>
      </w:r>
      <w:r w:rsidR="0072736F">
        <w:rPr>
          <w:rFonts w:hint="cs"/>
          <w:sz w:val="32"/>
          <w:szCs w:val="32"/>
          <w:rtl/>
          <w:lang w:bidi="ar-DZ"/>
        </w:rPr>
        <w:lastRenderedPageBreak/>
        <w:t xml:space="preserve">حالة ما </w:t>
      </w:r>
      <w:r>
        <w:rPr>
          <w:rFonts w:hint="cs"/>
          <w:sz w:val="32"/>
          <w:szCs w:val="32"/>
          <w:rtl/>
          <w:lang w:bidi="ar-DZ"/>
        </w:rPr>
        <w:t>إذا أردنا إعادة عملية الترميم بسبب قوته ومتانته كما يزيد من كمية الأملاح بالبناء(تزهر الأملاح). ولذلك فهو غير مستحب في أعمال الترميم.</w:t>
      </w:r>
    </w:p>
    <w:p w:rsidR="00BE184B" w:rsidRPr="00BE184B" w:rsidRDefault="00BE184B" w:rsidP="00BE184B">
      <w:pPr>
        <w:pStyle w:val="Paragraphedeliste"/>
        <w:numPr>
          <w:ilvl w:val="0"/>
          <w:numId w:val="6"/>
        </w:numPr>
        <w:bidi/>
        <w:spacing w:line="360" w:lineRule="auto"/>
        <w:jc w:val="both"/>
        <w:rPr>
          <w:sz w:val="32"/>
          <w:szCs w:val="32"/>
          <w:lang w:bidi="ar-DZ"/>
        </w:rPr>
      </w:pPr>
      <w:r w:rsidRPr="00BE184B">
        <w:rPr>
          <w:rFonts w:hint="cs"/>
          <w:sz w:val="32"/>
          <w:szCs w:val="32"/>
          <w:u w:val="single"/>
          <w:rtl/>
          <w:lang w:bidi="ar-DZ"/>
        </w:rPr>
        <w:t>الخرسانة المسلحة:</w:t>
      </w:r>
      <w:r>
        <w:rPr>
          <w:rFonts w:hint="cs"/>
          <w:sz w:val="32"/>
          <w:szCs w:val="32"/>
          <w:u w:val="single"/>
          <w:rtl/>
          <w:lang w:bidi="ar-DZ"/>
        </w:rPr>
        <w:t xml:space="preserve"> </w:t>
      </w:r>
    </w:p>
    <w:p w:rsidR="00BE184B" w:rsidRDefault="00BE184B" w:rsidP="003D556E">
      <w:pPr>
        <w:pStyle w:val="Paragraphedeliste"/>
        <w:bidi/>
        <w:spacing w:line="360" w:lineRule="auto"/>
        <w:ind w:left="141"/>
        <w:jc w:val="both"/>
        <w:rPr>
          <w:sz w:val="32"/>
          <w:szCs w:val="32"/>
          <w:rtl/>
          <w:lang w:bidi="ar-DZ"/>
        </w:rPr>
      </w:pPr>
      <w:r w:rsidRPr="00BE184B">
        <w:rPr>
          <w:rFonts w:hint="cs"/>
          <w:sz w:val="32"/>
          <w:szCs w:val="32"/>
          <w:rtl/>
          <w:lang w:bidi="ar-DZ"/>
        </w:rPr>
        <w:tab/>
        <w:t xml:space="preserve">بالنسبة للخرسانة المسلحة التي تكون متصلة بالمباني الأثرية فيجب أن نستخدم فيها الإسمنت قليل القلويات والكبريتات، ولكن هذا النوع من الإسمنت غير متاح دائما </w:t>
      </w:r>
      <w:r w:rsidR="00233B2D">
        <w:rPr>
          <w:rFonts w:hint="cs"/>
          <w:sz w:val="32"/>
          <w:szCs w:val="32"/>
          <w:rtl/>
          <w:lang w:bidi="ar-DZ"/>
        </w:rPr>
        <w:t>ب</w:t>
      </w:r>
      <w:r w:rsidRPr="00BE184B">
        <w:rPr>
          <w:rFonts w:hint="cs"/>
          <w:sz w:val="32"/>
          <w:szCs w:val="32"/>
          <w:rtl/>
          <w:lang w:bidi="ar-DZ"/>
        </w:rPr>
        <w:t>الأسواق.</w:t>
      </w:r>
    </w:p>
    <w:p w:rsidR="00C65AFA" w:rsidRDefault="00233B2D" w:rsidP="003D556E">
      <w:pPr>
        <w:pStyle w:val="Paragraphedeliste"/>
        <w:bidi/>
        <w:spacing w:line="360" w:lineRule="auto"/>
        <w:ind w:left="141"/>
        <w:jc w:val="both"/>
        <w:rPr>
          <w:sz w:val="32"/>
          <w:szCs w:val="32"/>
          <w:rtl/>
          <w:lang w:bidi="ar-DZ"/>
        </w:rPr>
      </w:pPr>
      <w:r>
        <w:rPr>
          <w:rFonts w:hint="cs"/>
          <w:sz w:val="32"/>
          <w:szCs w:val="32"/>
          <w:rtl/>
          <w:lang w:bidi="ar-DZ"/>
        </w:rPr>
        <w:t>كما أن استخدامها في تدعيم المنشآت القديمة تشوبه الكثير من المخاطر منها:</w:t>
      </w:r>
    </w:p>
    <w:p w:rsidR="00233B2D" w:rsidRPr="00233B2D" w:rsidRDefault="00233B2D" w:rsidP="00233B2D">
      <w:pPr>
        <w:pStyle w:val="Paragraphedeliste"/>
        <w:numPr>
          <w:ilvl w:val="0"/>
          <w:numId w:val="2"/>
        </w:numPr>
        <w:bidi/>
        <w:spacing w:line="360" w:lineRule="auto"/>
        <w:jc w:val="both"/>
        <w:rPr>
          <w:sz w:val="32"/>
          <w:szCs w:val="32"/>
          <w:u w:val="single"/>
          <w:lang w:bidi="ar-DZ"/>
        </w:rPr>
      </w:pPr>
      <w:r>
        <w:rPr>
          <w:rFonts w:hint="cs"/>
          <w:sz w:val="32"/>
          <w:szCs w:val="32"/>
          <w:rtl/>
          <w:lang w:bidi="ar-DZ"/>
        </w:rPr>
        <w:t>المواد المكونة للخرسانة المسلحة قوية جدا.</w:t>
      </w:r>
    </w:p>
    <w:p w:rsidR="00233B2D" w:rsidRPr="00233B2D" w:rsidRDefault="00233B2D" w:rsidP="00233B2D">
      <w:pPr>
        <w:pStyle w:val="Paragraphedeliste"/>
        <w:numPr>
          <w:ilvl w:val="0"/>
          <w:numId w:val="2"/>
        </w:numPr>
        <w:bidi/>
        <w:spacing w:line="360" w:lineRule="auto"/>
        <w:jc w:val="both"/>
        <w:rPr>
          <w:sz w:val="32"/>
          <w:szCs w:val="32"/>
          <w:u w:val="single"/>
          <w:lang w:bidi="ar-DZ"/>
        </w:rPr>
      </w:pPr>
      <w:r>
        <w:rPr>
          <w:rFonts w:hint="cs"/>
          <w:sz w:val="32"/>
          <w:szCs w:val="32"/>
          <w:rtl/>
          <w:lang w:bidi="ar-DZ"/>
        </w:rPr>
        <w:t>تعمل على ظهور اجتهادا</w:t>
      </w:r>
      <w:r>
        <w:rPr>
          <w:rFonts w:hint="eastAsia"/>
          <w:sz w:val="32"/>
          <w:szCs w:val="32"/>
          <w:rtl/>
          <w:lang w:bidi="ar-DZ"/>
        </w:rPr>
        <w:t>ت</w:t>
      </w:r>
      <w:r>
        <w:rPr>
          <w:rFonts w:hint="cs"/>
          <w:sz w:val="32"/>
          <w:szCs w:val="32"/>
          <w:rtl/>
          <w:lang w:bidi="ar-DZ"/>
        </w:rPr>
        <w:t xml:space="preserve"> نتيجة للضغط على المباني.</w:t>
      </w:r>
    </w:p>
    <w:p w:rsidR="00233B2D" w:rsidRPr="00233B2D" w:rsidRDefault="00233B2D" w:rsidP="00233B2D">
      <w:pPr>
        <w:pStyle w:val="Paragraphedeliste"/>
        <w:numPr>
          <w:ilvl w:val="0"/>
          <w:numId w:val="2"/>
        </w:numPr>
        <w:bidi/>
        <w:spacing w:line="360" w:lineRule="auto"/>
        <w:jc w:val="both"/>
        <w:rPr>
          <w:sz w:val="32"/>
          <w:szCs w:val="32"/>
          <w:u w:val="single"/>
          <w:lang w:bidi="ar-DZ"/>
        </w:rPr>
      </w:pPr>
      <w:r>
        <w:rPr>
          <w:rFonts w:hint="cs"/>
          <w:sz w:val="32"/>
          <w:szCs w:val="32"/>
          <w:rtl/>
          <w:lang w:bidi="ar-DZ"/>
        </w:rPr>
        <w:t>تضعف من مقاومة المادة الأصلية بسبب الإجهادات الداخلية وعملية الشد على المواد الضعيفة المجاورة لها أو المتصلة بها(طوب-حجر-مونة)، لأنها أكبر من قدرتها على التحمل ما يؤذي إلى تحلل وتلف مواد الإنشاء.</w:t>
      </w:r>
    </w:p>
    <w:p w:rsidR="00233B2D" w:rsidRPr="00233B2D" w:rsidRDefault="00233B2D" w:rsidP="00233B2D">
      <w:pPr>
        <w:pStyle w:val="Paragraphedeliste"/>
        <w:numPr>
          <w:ilvl w:val="0"/>
          <w:numId w:val="2"/>
        </w:numPr>
        <w:bidi/>
        <w:spacing w:line="360" w:lineRule="auto"/>
        <w:jc w:val="both"/>
        <w:rPr>
          <w:sz w:val="32"/>
          <w:szCs w:val="32"/>
          <w:u w:val="single"/>
          <w:lang w:bidi="ar-DZ"/>
        </w:rPr>
      </w:pPr>
      <w:r>
        <w:rPr>
          <w:rFonts w:hint="cs"/>
          <w:sz w:val="32"/>
          <w:szCs w:val="32"/>
          <w:rtl/>
          <w:lang w:bidi="ar-DZ"/>
        </w:rPr>
        <w:t>تتلف الخرسانة المسلحة بسرعة في حالة وجود شروخ بها لأنها تسمح للماء بالتوغل فيها.</w:t>
      </w:r>
    </w:p>
    <w:p w:rsidR="00233B2D" w:rsidRDefault="00233B2D" w:rsidP="00233B2D">
      <w:pPr>
        <w:bidi/>
        <w:spacing w:line="360" w:lineRule="auto"/>
        <w:jc w:val="both"/>
        <w:rPr>
          <w:sz w:val="32"/>
          <w:szCs w:val="32"/>
          <w:u w:val="single"/>
          <w:rtl/>
          <w:lang w:bidi="ar-DZ"/>
        </w:rPr>
      </w:pPr>
    </w:p>
    <w:p w:rsidR="00233B2D" w:rsidRPr="00233B2D" w:rsidRDefault="00233B2D" w:rsidP="00233B2D">
      <w:pPr>
        <w:bidi/>
        <w:spacing w:line="360" w:lineRule="auto"/>
        <w:jc w:val="right"/>
        <w:rPr>
          <w:sz w:val="32"/>
          <w:szCs w:val="32"/>
          <w:rtl/>
          <w:lang w:bidi="ar-DZ"/>
        </w:rPr>
      </w:pPr>
      <w:proofErr w:type="spellStart"/>
      <w:r w:rsidRPr="00233B2D">
        <w:rPr>
          <w:rFonts w:hint="cs"/>
          <w:sz w:val="32"/>
          <w:szCs w:val="32"/>
          <w:rtl/>
          <w:lang w:bidi="ar-DZ"/>
        </w:rPr>
        <w:t>دة</w:t>
      </w:r>
      <w:proofErr w:type="spellEnd"/>
      <w:r w:rsidRPr="00233B2D">
        <w:rPr>
          <w:rFonts w:hint="cs"/>
          <w:sz w:val="32"/>
          <w:szCs w:val="32"/>
          <w:rtl/>
          <w:lang w:bidi="ar-DZ"/>
        </w:rPr>
        <w:t xml:space="preserve">. </w:t>
      </w:r>
      <w:proofErr w:type="spellStart"/>
      <w:r w:rsidRPr="00233B2D">
        <w:rPr>
          <w:rFonts w:hint="cs"/>
          <w:sz w:val="32"/>
          <w:szCs w:val="32"/>
          <w:rtl/>
          <w:lang w:bidi="ar-DZ"/>
        </w:rPr>
        <w:t>بوزياني</w:t>
      </w:r>
      <w:proofErr w:type="spellEnd"/>
      <w:r w:rsidRPr="00233B2D">
        <w:rPr>
          <w:rFonts w:hint="cs"/>
          <w:sz w:val="32"/>
          <w:szCs w:val="32"/>
          <w:rtl/>
          <w:lang w:bidi="ar-DZ"/>
        </w:rPr>
        <w:t xml:space="preserve"> فاطمة الزهراء.</w:t>
      </w:r>
    </w:p>
    <w:p w:rsidR="00BE184B" w:rsidRPr="00BE184B" w:rsidRDefault="00BE184B" w:rsidP="00BE184B">
      <w:pPr>
        <w:pStyle w:val="Paragraphedeliste"/>
        <w:bidi/>
        <w:spacing w:line="360" w:lineRule="auto"/>
        <w:ind w:left="1800"/>
        <w:jc w:val="both"/>
        <w:rPr>
          <w:sz w:val="32"/>
          <w:szCs w:val="32"/>
          <w:u w:val="single"/>
          <w:lang w:bidi="ar-DZ"/>
        </w:rPr>
      </w:pPr>
      <w:r>
        <w:rPr>
          <w:rFonts w:hint="cs"/>
          <w:sz w:val="32"/>
          <w:szCs w:val="32"/>
          <w:rtl/>
          <w:lang w:bidi="ar-DZ"/>
        </w:rPr>
        <w:t xml:space="preserve"> </w:t>
      </w:r>
    </w:p>
    <w:sectPr w:rsidR="00BE184B" w:rsidRPr="00BE184B" w:rsidSect="00F90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Naskh3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D6295"/>
    <w:multiLevelType w:val="hybridMultilevel"/>
    <w:tmpl w:val="9338338E"/>
    <w:lvl w:ilvl="0" w:tplc="2B6077E4">
      <w:numFmt w:val="bullet"/>
      <w:lvlText w:val="-"/>
      <w:lvlJc w:val="left"/>
      <w:pPr>
        <w:ind w:left="2243" w:hanging="360"/>
      </w:pPr>
      <w:rPr>
        <w:rFonts w:ascii="Arial" w:eastAsiaTheme="minorEastAsia" w:hAnsi="Arial" w:cs="Arial" w:hint="default"/>
      </w:rPr>
    </w:lvl>
    <w:lvl w:ilvl="1" w:tplc="040C0003" w:tentative="1">
      <w:start w:val="1"/>
      <w:numFmt w:val="bullet"/>
      <w:lvlText w:val="o"/>
      <w:lvlJc w:val="left"/>
      <w:pPr>
        <w:ind w:left="2603" w:hanging="360"/>
      </w:pPr>
      <w:rPr>
        <w:rFonts w:ascii="Courier New" w:hAnsi="Courier New" w:cs="Courier New" w:hint="default"/>
      </w:rPr>
    </w:lvl>
    <w:lvl w:ilvl="2" w:tplc="040C0005" w:tentative="1">
      <w:start w:val="1"/>
      <w:numFmt w:val="bullet"/>
      <w:lvlText w:val=""/>
      <w:lvlJc w:val="left"/>
      <w:pPr>
        <w:ind w:left="3323" w:hanging="360"/>
      </w:pPr>
      <w:rPr>
        <w:rFonts w:ascii="Wingdings" w:hAnsi="Wingdings" w:hint="default"/>
      </w:rPr>
    </w:lvl>
    <w:lvl w:ilvl="3" w:tplc="040C0001" w:tentative="1">
      <w:start w:val="1"/>
      <w:numFmt w:val="bullet"/>
      <w:lvlText w:val=""/>
      <w:lvlJc w:val="left"/>
      <w:pPr>
        <w:ind w:left="4043" w:hanging="360"/>
      </w:pPr>
      <w:rPr>
        <w:rFonts w:ascii="Symbol" w:hAnsi="Symbol" w:hint="default"/>
      </w:rPr>
    </w:lvl>
    <w:lvl w:ilvl="4" w:tplc="040C0003" w:tentative="1">
      <w:start w:val="1"/>
      <w:numFmt w:val="bullet"/>
      <w:lvlText w:val="o"/>
      <w:lvlJc w:val="left"/>
      <w:pPr>
        <w:ind w:left="4763" w:hanging="360"/>
      </w:pPr>
      <w:rPr>
        <w:rFonts w:ascii="Courier New" w:hAnsi="Courier New" w:cs="Courier New" w:hint="default"/>
      </w:rPr>
    </w:lvl>
    <w:lvl w:ilvl="5" w:tplc="040C0005" w:tentative="1">
      <w:start w:val="1"/>
      <w:numFmt w:val="bullet"/>
      <w:lvlText w:val=""/>
      <w:lvlJc w:val="left"/>
      <w:pPr>
        <w:ind w:left="5483" w:hanging="360"/>
      </w:pPr>
      <w:rPr>
        <w:rFonts w:ascii="Wingdings" w:hAnsi="Wingdings" w:hint="default"/>
      </w:rPr>
    </w:lvl>
    <w:lvl w:ilvl="6" w:tplc="040C0001" w:tentative="1">
      <w:start w:val="1"/>
      <w:numFmt w:val="bullet"/>
      <w:lvlText w:val=""/>
      <w:lvlJc w:val="left"/>
      <w:pPr>
        <w:ind w:left="6203" w:hanging="360"/>
      </w:pPr>
      <w:rPr>
        <w:rFonts w:ascii="Symbol" w:hAnsi="Symbol" w:hint="default"/>
      </w:rPr>
    </w:lvl>
    <w:lvl w:ilvl="7" w:tplc="040C0003" w:tentative="1">
      <w:start w:val="1"/>
      <w:numFmt w:val="bullet"/>
      <w:lvlText w:val="o"/>
      <w:lvlJc w:val="left"/>
      <w:pPr>
        <w:ind w:left="6923" w:hanging="360"/>
      </w:pPr>
      <w:rPr>
        <w:rFonts w:ascii="Courier New" w:hAnsi="Courier New" w:cs="Courier New" w:hint="default"/>
      </w:rPr>
    </w:lvl>
    <w:lvl w:ilvl="8" w:tplc="040C0005" w:tentative="1">
      <w:start w:val="1"/>
      <w:numFmt w:val="bullet"/>
      <w:lvlText w:val=""/>
      <w:lvlJc w:val="left"/>
      <w:pPr>
        <w:ind w:left="7643" w:hanging="360"/>
      </w:pPr>
      <w:rPr>
        <w:rFonts w:ascii="Wingdings" w:hAnsi="Wingdings" w:hint="default"/>
      </w:rPr>
    </w:lvl>
  </w:abstractNum>
  <w:abstractNum w:abstractNumId="1">
    <w:nsid w:val="22B25090"/>
    <w:multiLevelType w:val="hybridMultilevel"/>
    <w:tmpl w:val="D66EB55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23775624"/>
    <w:multiLevelType w:val="hybridMultilevel"/>
    <w:tmpl w:val="8E467530"/>
    <w:lvl w:ilvl="0" w:tplc="C70CC90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F61E2C"/>
    <w:multiLevelType w:val="hybridMultilevel"/>
    <w:tmpl w:val="CE74CCDE"/>
    <w:lvl w:ilvl="0" w:tplc="2B6077E4">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0885288"/>
    <w:multiLevelType w:val="hybridMultilevel"/>
    <w:tmpl w:val="CB96BAA6"/>
    <w:lvl w:ilvl="0" w:tplc="040C000B">
      <w:start w:val="1"/>
      <w:numFmt w:val="bullet"/>
      <w:lvlText w:val=""/>
      <w:lvlJc w:val="left"/>
      <w:pPr>
        <w:ind w:left="2963" w:hanging="360"/>
      </w:pPr>
      <w:rPr>
        <w:rFonts w:ascii="Wingdings" w:hAnsi="Wingdings" w:hint="default"/>
      </w:rPr>
    </w:lvl>
    <w:lvl w:ilvl="1" w:tplc="040C0003" w:tentative="1">
      <w:start w:val="1"/>
      <w:numFmt w:val="bullet"/>
      <w:lvlText w:val="o"/>
      <w:lvlJc w:val="left"/>
      <w:pPr>
        <w:ind w:left="3683" w:hanging="360"/>
      </w:pPr>
      <w:rPr>
        <w:rFonts w:ascii="Courier New" w:hAnsi="Courier New" w:cs="Courier New" w:hint="default"/>
      </w:rPr>
    </w:lvl>
    <w:lvl w:ilvl="2" w:tplc="040C0005" w:tentative="1">
      <w:start w:val="1"/>
      <w:numFmt w:val="bullet"/>
      <w:lvlText w:val=""/>
      <w:lvlJc w:val="left"/>
      <w:pPr>
        <w:ind w:left="4403" w:hanging="360"/>
      </w:pPr>
      <w:rPr>
        <w:rFonts w:ascii="Wingdings" w:hAnsi="Wingdings" w:hint="default"/>
      </w:rPr>
    </w:lvl>
    <w:lvl w:ilvl="3" w:tplc="040C0001" w:tentative="1">
      <w:start w:val="1"/>
      <w:numFmt w:val="bullet"/>
      <w:lvlText w:val=""/>
      <w:lvlJc w:val="left"/>
      <w:pPr>
        <w:ind w:left="5123" w:hanging="360"/>
      </w:pPr>
      <w:rPr>
        <w:rFonts w:ascii="Symbol" w:hAnsi="Symbol" w:hint="default"/>
      </w:rPr>
    </w:lvl>
    <w:lvl w:ilvl="4" w:tplc="040C0003" w:tentative="1">
      <w:start w:val="1"/>
      <w:numFmt w:val="bullet"/>
      <w:lvlText w:val="o"/>
      <w:lvlJc w:val="left"/>
      <w:pPr>
        <w:ind w:left="5843" w:hanging="360"/>
      </w:pPr>
      <w:rPr>
        <w:rFonts w:ascii="Courier New" w:hAnsi="Courier New" w:cs="Courier New" w:hint="default"/>
      </w:rPr>
    </w:lvl>
    <w:lvl w:ilvl="5" w:tplc="040C0005" w:tentative="1">
      <w:start w:val="1"/>
      <w:numFmt w:val="bullet"/>
      <w:lvlText w:val=""/>
      <w:lvlJc w:val="left"/>
      <w:pPr>
        <w:ind w:left="6563" w:hanging="360"/>
      </w:pPr>
      <w:rPr>
        <w:rFonts w:ascii="Wingdings" w:hAnsi="Wingdings" w:hint="default"/>
      </w:rPr>
    </w:lvl>
    <w:lvl w:ilvl="6" w:tplc="040C0001" w:tentative="1">
      <w:start w:val="1"/>
      <w:numFmt w:val="bullet"/>
      <w:lvlText w:val=""/>
      <w:lvlJc w:val="left"/>
      <w:pPr>
        <w:ind w:left="7283" w:hanging="360"/>
      </w:pPr>
      <w:rPr>
        <w:rFonts w:ascii="Symbol" w:hAnsi="Symbol" w:hint="default"/>
      </w:rPr>
    </w:lvl>
    <w:lvl w:ilvl="7" w:tplc="040C0003" w:tentative="1">
      <w:start w:val="1"/>
      <w:numFmt w:val="bullet"/>
      <w:lvlText w:val="o"/>
      <w:lvlJc w:val="left"/>
      <w:pPr>
        <w:ind w:left="8003" w:hanging="360"/>
      </w:pPr>
      <w:rPr>
        <w:rFonts w:ascii="Courier New" w:hAnsi="Courier New" w:cs="Courier New" w:hint="default"/>
      </w:rPr>
    </w:lvl>
    <w:lvl w:ilvl="8" w:tplc="040C0005" w:tentative="1">
      <w:start w:val="1"/>
      <w:numFmt w:val="bullet"/>
      <w:lvlText w:val=""/>
      <w:lvlJc w:val="left"/>
      <w:pPr>
        <w:ind w:left="8723" w:hanging="360"/>
      </w:pPr>
      <w:rPr>
        <w:rFonts w:ascii="Wingdings" w:hAnsi="Wingdings" w:hint="default"/>
      </w:rPr>
    </w:lvl>
  </w:abstractNum>
  <w:abstractNum w:abstractNumId="5">
    <w:nsid w:val="432D48DC"/>
    <w:multiLevelType w:val="hybridMultilevel"/>
    <w:tmpl w:val="10E690EA"/>
    <w:lvl w:ilvl="0" w:tplc="040C000B">
      <w:start w:val="1"/>
      <w:numFmt w:val="bullet"/>
      <w:lvlText w:val=""/>
      <w:lvlJc w:val="left"/>
      <w:pPr>
        <w:ind w:left="2243" w:hanging="360"/>
      </w:pPr>
      <w:rPr>
        <w:rFonts w:ascii="Wingdings" w:hAnsi="Wingdings" w:hint="default"/>
      </w:rPr>
    </w:lvl>
    <w:lvl w:ilvl="1" w:tplc="040C0003" w:tentative="1">
      <w:start w:val="1"/>
      <w:numFmt w:val="bullet"/>
      <w:lvlText w:val="o"/>
      <w:lvlJc w:val="left"/>
      <w:pPr>
        <w:ind w:left="2603" w:hanging="360"/>
      </w:pPr>
      <w:rPr>
        <w:rFonts w:ascii="Courier New" w:hAnsi="Courier New" w:cs="Courier New" w:hint="default"/>
      </w:rPr>
    </w:lvl>
    <w:lvl w:ilvl="2" w:tplc="040C0005" w:tentative="1">
      <w:start w:val="1"/>
      <w:numFmt w:val="bullet"/>
      <w:lvlText w:val=""/>
      <w:lvlJc w:val="left"/>
      <w:pPr>
        <w:ind w:left="3323" w:hanging="360"/>
      </w:pPr>
      <w:rPr>
        <w:rFonts w:ascii="Wingdings" w:hAnsi="Wingdings" w:hint="default"/>
      </w:rPr>
    </w:lvl>
    <w:lvl w:ilvl="3" w:tplc="040C0001" w:tentative="1">
      <w:start w:val="1"/>
      <w:numFmt w:val="bullet"/>
      <w:lvlText w:val=""/>
      <w:lvlJc w:val="left"/>
      <w:pPr>
        <w:ind w:left="4043" w:hanging="360"/>
      </w:pPr>
      <w:rPr>
        <w:rFonts w:ascii="Symbol" w:hAnsi="Symbol" w:hint="default"/>
      </w:rPr>
    </w:lvl>
    <w:lvl w:ilvl="4" w:tplc="040C0003" w:tentative="1">
      <w:start w:val="1"/>
      <w:numFmt w:val="bullet"/>
      <w:lvlText w:val="o"/>
      <w:lvlJc w:val="left"/>
      <w:pPr>
        <w:ind w:left="4763" w:hanging="360"/>
      </w:pPr>
      <w:rPr>
        <w:rFonts w:ascii="Courier New" w:hAnsi="Courier New" w:cs="Courier New" w:hint="default"/>
      </w:rPr>
    </w:lvl>
    <w:lvl w:ilvl="5" w:tplc="040C0005" w:tentative="1">
      <w:start w:val="1"/>
      <w:numFmt w:val="bullet"/>
      <w:lvlText w:val=""/>
      <w:lvlJc w:val="left"/>
      <w:pPr>
        <w:ind w:left="5483" w:hanging="360"/>
      </w:pPr>
      <w:rPr>
        <w:rFonts w:ascii="Wingdings" w:hAnsi="Wingdings" w:hint="default"/>
      </w:rPr>
    </w:lvl>
    <w:lvl w:ilvl="6" w:tplc="040C0001" w:tentative="1">
      <w:start w:val="1"/>
      <w:numFmt w:val="bullet"/>
      <w:lvlText w:val=""/>
      <w:lvlJc w:val="left"/>
      <w:pPr>
        <w:ind w:left="6203" w:hanging="360"/>
      </w:pPr>
      <w:rPr>
        <w:rFonts w:ascii="Symbol" w:hAnsi="Symbol" w:hint="default"/>
      </w:rPr>
    </w:lvl>
    <w:lvl w:ilvl="7" w:tplc="040C0003" w:tentative="1">
      <w:start w:val="1"/>
      <w:numFmt w:val="bullet"/>
      <w:lvlText w:val="o"/>
      <w:lvlJc w:val="left"/>
      <w:pPr>
        <w:ind w:left="6923" w:hanging="360"/>
      </w:pPr>
      <w:rPr>
        <w:rFonts w:ascii="Courier New" w:hAnsi="Courier New" w:cs="Courier New" w:hint="default"/>
      </w:rPr>
    </w:lvl>
    <w:lvl w:ilvl="8" w:tplc="040C0005" w:tentative="1">
      <w:start w:val="1"/>
      <w:numFmt w:val="bullet"/>
      <w:lvlText w:val=""/>
      <w:lvlJc w:val="left"/>
      <w:pPr>
        <w:ind w:left="7643" w:hanging="360"/>
      </w:pPr>
      <w:rPr>
        <w:rFonts w:ascii="Wingdings" w:hAnsi="Wingdings" w:hint="default"/>
      </w:rPr>
    </w:lvl>
  </w:abstractNum>
  <w:abstractNum w:abstractNumId="6">
    <w:nsid w:val="52AB3466"/>
    <w:multiLevelType w:val="hybridMultilevel"/>
    <w:tmpl w:val="FDAC66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A31982"/>
    <w:rsid w:val="00233B2D"/>
    <w:rsid w:val="003D556E"/>
    <w:rsid w:val="0072736F"/>
    <w:rsid w:val="008522E5"/>
    <w:rsid w:val="00A31982"/>
    <w:rsid w:val="00B10EBD"/>
    <w:rsid w:val="00BE184B"/>
    <w:rsid w:val="00C65AFA"/>
    <w:rsid w:val="00CC7826"/>
    <w:rsid w:val="00D6523A"/>
    <w:rsid w:val="00D67DAC"/>
    <w:rsid w:val="00F90D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59286-23A9-497D-9F55-B641A5A0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D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523A"/>
    <w:pPr>
      <w:ind w:left="720"/>
      <w:contextualSpacing/>
    </w:pPr>
  </w:style>
  <w:style w:type="table" w:styleId="Grilledutableau">
    <w:name w:val="Table Grid"/>
    <w:basedOn w:val="TableauNormal"/>
    <w:uiPriority w:val="39"/>
    <w:rsid w:val="003D55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396</Words>
  <Characters>2183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HP</cp:lastModifiedBy>
  <cp:revision>11</cp:revision>
  <dcterms:created xsi:type="dcterms:W3CDTF">2021-01-10T14:10:00Z</dcterms:created>
  <dcterms:modified xsi:type="dcterms:W3CDTF">2024-11-19T10:28:00Z</dcterms:modified>
</cp:coreProperties>
</file>