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3D" w:rsidRDefault="00254C3D" w:rsidP="00254C3D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54C3D">
        <w:rPr>
          <w:rFonts w:asciiTheme="majorBidi" w:hAnsiTheme="majorBidi" w:cstheme="majorBidi"/>
          <w:sz w:val="24"/>
          <w:szCs w:val="24"/>
          <w:lang w:val="en-GB"/>
        </w:rPr>
        <w:t>Activity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chemistry definition</w:t>
      </w:r>
      <w:bookmarkStart w:id="0" w:name="_GoBack"/>
      <w:bookmarkEnd w:id="0"/>
    </w:p>
    <w:p w:rsidR="00254C3D" w:rsidRPr="00254C3D" w:rsidRDefault="00254C3D" w:rsidP="00254C3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 Fill in the gap with the right words from the list below to get a correct definition of “chemistry”:</w:t>
      </w:r>
    </w:p>
    <w:p w:rsidR="00254C3D" w:rsidRPr="00254C3D" w:rsidRDefault="00254C3D" w:rsidP="00254C3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54C3D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>transformation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>, agriculture, substances, reactions, provide, phenomena, atoms, properties, background, ecology, transformation, molecules, theoretical, efficiency)</w:t>
      </w:r>
    </w:p>
    <w:p w:rsidR="00776FEC" w:rsidRDefault="00254C3D" w:rsidP="00254C3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“Chemistry” is a field to create ………………… possessing high ………………….and function, based on ……………………. understanding of …………….. 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>of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molecules and …………</w:t>
      </w:r>
      <w:r>
        <w:rPr>
          <w:rFonts w:asciiTheme="majorBidi" w:hAnsiTheme="majorBidi" w:cstheme="majorBidi"/>
          <w:sz w:val="24"/>
          <w:szCs w:val="24"/>
          <w:lang w:val="en-GB"/>
        </w:rPr>
        <w:t>…….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….. “Chemistry” focuses on the …………………….. 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>of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………………</w:t>
      </w:r>
      <w:r>
        <w:rPr>
          <w:rFonts w:asciiTheme="majorBidi" w:hAnsiTheme="majorBidi" w:cstheme="majorBidi"/>
          <w:sz w:val="24"/>
          <w:szCs w:val="24"/>
          <w:lang w:val="en-GB"/>
        </w:rPr>
        <w:t>..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... All scientific areas related to material-……………….. 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>have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a close concern for chemistry. For instance, life-related ………</w:t>
      </w:r>
      <w:r>
        <w:rPr>
          <w:rFonts w:asciiTheme="majorBidi" w:hAnsiTheme="majorBidi" w:cstheme="majorBidi"/>
          <w:sz w:val="24"/>
          <w:szCs w:val="24"/>
          <w:lang w:val="en-GB"/>
        </w:rPr>
        <w:t>………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>…are modulated by a number of chemical………………..; accordingly life science is a branch of chemistry. Scientific fields such as physics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>, ………………,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pharmacy, earth science, ………………… , and astronomy are similarly covered by chemistry. With such a 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>………</w:t>
      </w:r>
      <w:r>
        <w:rPr>
          <w:rFonts w:asciiTheme="majorBidi" w:hAnsiTheme="majorBidi" w:cstheme="majorBidi"/>
          <w:sz w:val="24"/>
          <w:szCs w:val="24"/>
          <w:lang w:val="en-GB"/>
        </w:rPr>
        <w:t>……..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>………,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the infinity of material-combination will ………</w:t>
      </w:r>
      <w:r>
        <w:rPr>
          <w:rFonts w:asciiTheme="majorBidi" w:hAnsiTheme="majorBidi" w:cstheme="majorBidi"/>
          <w:sz w:val="24"/>
          <w:szCs w:val="24"/>
          <w:lang w:val="en-GB"/>
        </w:rPr>
        <w:t>……..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>…. a big future for “chemistry”</w:t>
      </w:r>
    </w:p>
    <w:p w:rsidR="00254C3D" w:rsidRDefault="00254C3D" w:rsidP="00254C3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/>
        </w:rPr>
      </w:pPr>
      <w:r w:rsidRPr="00254C3D">
        <w:rPr>
          <w:rFonts w:asciiTheme="majorBidi" w:hAnsiTheme="majorBidi" w:cstheme="majorBidi"/>
          <w:sz w:val="24"/>
          <w:szCs w:val="24"/>
          <w:u w:val="single"/>
          <w:lang w:val="en-GB"/>
        </w:rPr>
        <w:t>Correction</w:t>
      </w:r>
    </w:p>
    <w:p w:rsidR="00000000" w:rsidRPr="00254C3D" w:rsidRDefault="00254C3D" w:rsidP="00254C3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“Chemistry” is a field to create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substances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possessing high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efficiency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and function, based on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theoretical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understanding of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>pr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operties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of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>molecules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>atoms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. “Chemistry” focuses on the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transformation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of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>molecules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>. All scientific areas related to material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-transformation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have a close concern for chemistry. For instance, 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life-related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phenomena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>are modulated by a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number of chemical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>reactions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; accordingly life science is a branch of chemistry. Scientific fields such as physics,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agriculture,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pharmacy, earth science,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ecology,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and astronomy, </w:t>
      </w:r>
      <w:proofErr w:type="gramStart"/>
      <w:r w:rsidRPr="00254C3D">
        <w:rPr>
          <w:rFonts w:asciiTheme="majorBidi" w:hAnsiTheme="majorBidi" w:cstheme="majorBidi"/>
          <w:sz w:val="24"/>
          <w:szCs w:val="24"/>
          <w:lang w:val="en-GB"/>
        </w:rPr>
        <w:t>are similarly covered</w:t>
      </w:r>
      <w:proofErr w:type="gramEnd"/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by chemistry. With such a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>background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, the infinity of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>material-combination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will </w:t>
      </w:r>
      <w:r w:rsidRPr="00254C3D">
        <w:rPr>
          <w:rFonts w:asciiTheme="majorBidi" w:hAnsiTheme="majorBidi" w:cstheme="majorBidi"/>
          <w:b/>
          <w:bCs/>
          <w:sz w:val="24"/>
          <w:szCs w:val="24"/>
          <w:lang w:val="en-GB"/>
        </w:rPr>
        <w:t>provide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 a </w:t>
      </w:r>
      <w:r w:rsidRPr="00254C3D">
        <w:rPr>
          <w:rFonts w:asciiTheme="majorBidi" w:hAnsiTheme="majorBidi" w:cstheme="majorBidi"/>
          <w:sz w:val="24"/>
          <w:szCs w:val="24"/>
          <w:lang w:val="en-GB"/>
        </w:rPr>
        <w:t xml:space="preserve">big future for “chemistry”. </w:t>
      </w:r>
    </w:p>
    <w:p w:rsidR="00254C3D" w:rsidRPr="00254C3D" w:rsidRDefault="00254C3D" w:rsidP="00254C3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/>
        </w:rPr>
      </w:pPr>
    </w:p>
    <w:sectPr w:rsidR="00254C3D" w:rsidRPr="00254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82B4E"/>
    <w:multiLevelType w:val="hybridMultilevel"/>
    <w:tmpl w:val="177C63A2"/>
    <w:lvl w:ilvl="0" w:tplc="D0721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89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A9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E9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24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65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0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E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3D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C3D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B12"/>
    <w:rsid w:val="009535A5"/>
    <w:rsid w:val="00954CA1"/>
    <w:rsid w:val="00955F2B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68B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5BB"/>
    <w:rsid w:val="00FB7A10"/>
    <w:rsid w:val="00FC1697"/>
    <w:rsid w:val="00FC4255"/>
    <w:rsid w:val="00FC46BD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3D0D3-3B97-41C2-A7B0-CE477616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Company>Hewlett-Packard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2024-10-17T22:02:00Z</dcterms:created>
  <dcterms:modified xsi:type="dcterms:W3CDTF">2024-10-17T22:08:00Z</dcterms:modified>
</cp:coreProperties>
</file>