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BC" w:rsidRPr="002253FE" w:rsidRDefault="001D70E6" w:rsidP="001F3FBC">
      <w:pPr>
        <w:jc w:val="center"/>
        <w:rPr>
          <w:rFonts w:asciiTheme="majorBidi" w:hAnsiTheme="majorBidi" w:cstheme="majorBidi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Grille d’évaluation </w:t>
      </w:r>
    </w:p>
    <w:tbl>
      <w:tblPr>
        <w:tblStyle w:val="Grilleclaire-Accent4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134"/>
        <w:gridCol w:w="1134"/>
        <w:gridCol w:w="1418"/>
        <w:gridCol w:w="1312"/>
      </w:tblGrid>
      <w:tr w:rsidR="00BE0273" w:rsidRPr="00BE0273" w:rsidTr="00BE0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7" w:type="dxa"/>
            <w:gridSpan w:val="6"/>
            <w:shd w:val="clear" w:color="auto" w:fill="FFFFFF" w:themeFill="background1"/>
          </w:tcPr>
          <w:p w:rsidR="001F3FBC" w:rsidRPr="00BE0273" w:rsidRDefault="00BE0273" w:rsidP="00BE0273">
            <w:pPr>
              <w:jc w:val="both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color w:val="000000" w:themeColor="text1"/>
                <w:sz w:val="24"/>
                <w:szCs w:val="24"/>
              </w:rPr>
              <w:t xml:space="preserve">Cours : </w:t>
            </w: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Caractérisations des polymères et leurs applications (CSP)</w:t>
            </w:r>
          </w:p>
          <w:p w:rsidR="00BE0273" w:rsidRPr="00BE0273" w:rsidRDefault="00BE0273" w:rsidP="00BE0273">
            <w:pPr>
              <w:jc w:val="both"/>
              <w:rPr>
                <w:rFonts w:asciiTheme="majorBidi" w:hAnsi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color w:val="000000" w:themeColor="text1"/>
                <w:sz w:val="24"/>
                <w:szCs w:val="24"/>
              </w:rPr>
              <w:t xml:space="preserve">Enseignant : </w:t>
            </w: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HOCINE Tayeb</w:t>
            </w: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  <w:shd w:val="clear" w:color="auto" w:fill="FFFFFF" w:themeFill="background1"/>
            <w:vAlign w:val="center"/>
          </w:tcPr>
          <w:p w:rsidR="001D70E6" w:rsidRPr="00BE0273" w:rsidRDefault="001D70E6" w:rsidP="00BE0273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24"/>
                <w:szCs w:val="24"/>
              </w:rPr>
            </w:pPr>
            <w:r w:rsidRPr="00BE0273">
              <w:rPr>
                <w:rFonts w:asciiTheme="majorBidi" w:hAnsiTheme="majorBidi"/>
                <w:b w:val="0"/>
                <w:bCs w:val="0"/>
                <w:color w:val="FF0000"/>
                <w:sz w:val="24"/>
                <w:szCs w:val="24"/>
              </w:rPr>
              <w:t>Critères d’analyses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D70E6" w:rsidRPr="00BE0273" w:rsidRDefault="001D70E6" w:rsidP="00BE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  <w:t>Excellent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D70E6" w:rsidRPr="00BE0273" w:rsidRDefault="001D70E6" w:rsidP="00BE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  <w:t>Très</w:t>
            </w:r>
            <w:r w:rsidR="00BE0273" w:rsidRPr="00BE0273"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  <w:t>-Bien</w:t>
            </w:r>
          </w:p>
          <w:p w:rsidR="001D70E6" w:rsidRPr="00BE0273" w:rsidRDefault="001D70E6" w:rsidP="00BE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D70E6" w:rsidRPr="00BE0273" w:rsidRDefault="00BE0273" w:rsidP="00BE02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FF0000"/>
                <w:sz w:val="24"/>
                <w:szCs w:val="24"/>
              </w:rPr>
              <w:t>Bien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1D70E6" w:rsidRPr="00BE0273" w:rsidRDefault="001D70E6" w:rsidP="00BE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BE0273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Insuffisant</w:t>
            </w: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Structure de Cours</w:t>
            </w: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791AA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Clarté de la présentation du cours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91AAF" w:rsidRPr="00BE027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shd w:val="clear" w:color="auto" w:fill="FFFFFF" w:themeFill="background1"/>
          </w:tcPr>
          <w:p w:rsidR="00791AAF" w:rsidRPr="00BE027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791A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 xml:space="preserve">Les coordonnées du </w:t>
            </w:r>
          </w:p>
          <w:p w:rsidR="00791AAF" w:rsidRPr="00BE0273" w:rsidRDefault="00791AAF" w:rsidP="00791A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responsable</w:t>
            </w:r>
            <w:proofErr w:type="gramEnd"/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 xml:space="preserve"> du cours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791AA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Description du cours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791AAF" w:rsidRPr="00BE0273" w:rsidRDefault="00791AAF" w:rsidP="005750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Système d’entrée</w:t>
            </w: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Présentation des objectifs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91AAF" w:rsidRPr="00BE027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shd w:val="clear" w:color="auto" w:fill="FFFFFF" w:themeFill="background1"/>
          </w:tcPr>
          <w:p w:rsidR="00791AAF" w:rsidRPr="00BE027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 xml:space="preserve">Présentation des </w:t>
            </w:r>
            <w:r w:rsidR="00BE0273"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pré-requis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1AAF" w:rsidRPr="00BE0273" w:rsidRDefault="00791AAF" w:rsidP="0093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791AAF" w:rsidRPr="00BE0273" w:rsidRDefault="00791AAF" w:rsidP="0093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791AAF" w:rsidRPr="00BE0273" w:rsidRDefault="00791AAF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 xml:space="preserve">Présentation des </w:t>
            </w:r>
            <w:r w:rsidR="00BE0273"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pré-tests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91AAF" w:rsidRPr="00BE0273" w:rsidRDefault="00791AAF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91AAF" w:rsidRPr="00BE027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791AAF" w:rsidRPr="00BE0273" w:rsidRDefault="00791AAF" w:rsidP="0093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FFFFFF" w:themeFill="background1"/>
            <w:textDirection w:val="btLr"/>
            <w:vAlign w:val="center"/>
          </w:tcPr>
          <w:p w:rsidR="004F23AD" w:rsidRPr="00BE0273" w:rsidRDefault="004F23AD" w:rsidP="00BE0273">
            <w:pPr>
              <w:pStyle w:val="Default"/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BE0273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Système</w:t>
            </w:r>
          </w:p>
          <w:p w:rsidR="004F23AD" w:rsidRPr="00BE0273" w:rsidRDefault="00BE0273" w:rsidP="00BE0273">
            <w:pPr>
              <w:pStyle w:val="Default"/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BE0273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D’</w:t>
            </w:r>
            <w:r w:rsidR="004F23AD" w:rsidRPr="00BE0273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apprentissage</w:t>
            </w: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791AA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 xml:space="preserve">Présentation de la carte </w:t>
            </w:r>
          </w:p>
          <w:p w:rsidR="004F23AD" w:rsidRPr="00BE0273" w:rsidRDefault="004F23AD" w:rsidP="00791AA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mentale (conceptuelle)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4F23A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Utilisation de références, ressource et supports pédagogiques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 xml:space="preserve">Diversité des méthodes </w:t>
            </w:r>
          </w:p>
          <w:p w:rsidR="004F23AD" w:rsidRPr="00BE0273" w:rsidRDefault="00BE0273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Pédagogiques</w:t>
            </w:r>
            <w:r w:rsidR="004F23AD"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 xml:space="preserve"> utilisées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4F23A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Activités d’apprentissage locales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BE027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Respect de la description et les objectifs du cours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1E1CB7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1E1CB7" w:rsidRPr="00BE0273" w:rsidRDefault="001E1CB7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E1CB7" w:rsidRPr="001E1CB7" w:rsidRDefault="001E1CB7" w:rsidP="001E1CB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Annexes (glossaire,</w:t>
            </w:r>
          </w:p>
          <w:p w:rsidR="001E1CB7" w:rsidRPr="001E1CB7" w:rsidRDefault="001E1CB7" w:rsidP="001E1CB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proofErr w:type="gramStart"/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bibliographie</w:t>
            </w:r>
            <w:proofErr w:type="gramEnd"/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,</w:t>
            </w:r>
            <w:r>
              <w:rPr>
                <w:rFonts w:asciiTheme="majorBidi" w:eastAsiaTheme="majorEastAsia" w:hAnsiTheme="majorBidi" w:cstheme="majorBidi"/>
                <w:color w:val="000000" w:themeColor="text1"/>
              </w:rPr>
              <w:t xml:space="preserve"> </w:t>
            </w:r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abréviations</w:t>
            </w:r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,</w:t>
            </w:r>
          </w:p>
          <w:p w:rsidR="001E1CB7" w:rsidRPr="00BE0273" w:rsidRDefault="001E1CB7" w:rsidP="001E1CB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références..</w:t>
            </w:r>
            <w:proofErr w:type="spellStart"/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etc</w:t>
            </w:r>
            <w:proofErr w:type="spellEnd"/>
            <w:r w:rsidRPr="001E1CB7">
              <w:rPr>
                <w:rFonts w:asciiTheme="majorBidi" w:eastAsiaTheme="majorEastAsia" w:hAnsiTheme="majorBidi" w:cstheme="majorBidi"/>
                <w:color w:val="000000" w:themeColor="text1"/>
              </w:rPr>
              <w:t>)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E1CB7" w:rsidRPr="00BE0273" w:rsidRDefault="001E1CB7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E1CB7" w:rsidRPr="00BE0273" w:rsidRDefault="001E1CB7" w:rsidP="00495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E1CB7" w:rsidRPr="00BE0273" w:rsidRDefault="001E1CB7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1E1CB7" w:rsidRPr="00BE0273" w:rsidRDefault="001E1CB7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F23AD" w:rsidRPr="00BE0273" w:rsidRDefault="004F23AD" w:rsidP="004F23A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</w:rPr>
              <w:t>Stratégie de remédiation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3AD" w:rsidRPr="00BE0273" w:rsidRDefault="004F23AD" w:rsidP="00495E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FFFFFF" w:themeFill="background1"/>
          </w:tcPr>
          <w:p w:rsidR="004F23AD" w:rsidRPr="00BE0273" w:rsidRDefault="004F23AD" w:rsidP="004165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E0273" w:rsidRPr="00BE0273" w:rsidTr="00BE0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:rsidR="004F23AD" w:rsidRPr="00BE0273" w:rsidRDefault="004F23AD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Système de</w:t>
            </w:r>
          </w:p>
          <w:p w:rsidR="001D70E6" w:rsidRPr="00BE0273" w:rsidRDefault="004F23AD" w:rsidP="00BE027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  <w:t>sortie</w:t>
            </w:r>
          </w:p>
        </w:tc>
        <w:tc>
          <w:tcPr>
            <w:tcW w:w="2835" w:type="dxa"/>
            <w:shd w:val="clear" w:color="auto" w:fill="FFFFFF" w:themeFill="background1"/>
          </w:tcPr>
          <w:p w:rsidR="001D70E6" w:rsidRPr="00BE0273" w:rsidRDefault="004F23AD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  <w:r w:rsidRPr="00BE0273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  <w:t>Post-test</w:t>
            </w:r>
          </w:p>
        </w:tc>
        <w:tc>
          <w:tcPr>
            <w:tcW w:w="1134" w:type="dxa"/>
            <w:shd w:val="clear" w:color="auto" w:fill="FFFFFF" w:themeFill="background1"/>
          </w:tcPr>
          <w:p w:rsidR="001D70E6" w:rsidRPr="00BE0273" w:rsidRDefault="001D70E6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70E6" w:rsidRPr="00BE0273" w:rsidRDefault="001D70E6" w:rsidP="00495E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D70E6" w:rsidRPr="00BE0273" w:rsidRDefault="001D70E6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 w:themeFill="background1"/>
          </w:tcPr>
          <w:p w:rsidR="001D70E6" w:rsidRPr="00BE0273" w:rsidRDefault="001D70E6" w:rsidP="0041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C5194C" w:rsidRDefault="00C5194C"/>
    <w:sectPr w:rsidR="00C5194C" w:rsidSect="00C5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BC"/>
    <w:rsid w:val="001D70E6"/>
    <w:rsid w:val="001E1CB7"/>
    <w:rsid w:val="001F3FBC"/>
    <w:rsid w:val="00286C3F"/>
    <w:rsid w:val="00495EA3"/>
    <w:rsid w:val="004B150F"/>
    <w:rsid w:val="004F23AD"/>
    <w:rsid w:val="00575039"/>
    <w:rsid w:val="00791AAF"/>
    <w:rsid w:val="00796D44"/>
    <w:rsid w:val="009027A6"/>
    <w:rsid w:val="0093269A"/>
    <w:rsid w:val="00936BF9"/>
    <w:rsid w:val="009B20B2"/>
    <w:rsid w:val="009C5DF9"/>
    <w:rsid w:val="00BE0273"/>
    <w:rsid w:val="00C01C90"/>
    <w:rsid w:val="00C5194C"/>
    <w:rsid w:val="00C92910"/>
    <w:rsid w:val="00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B4A9"/>
  <w15:docId w15:val="{84128371-908B-4E48-9B8A-14C613AB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1F3F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9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6C3F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4F23A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Tayeb HOCINE</dc:creator>
  <cp:lastModifiedBy>Tayeb HOCINE</cp:lastModifiedBy>
  <cp:revision>3</cp:revision>
  <cp:lastPrinted>2019-02-15T21:36:00Z</cp:lastPrinted>
  <dcterms:created xsi:type="dcterms:W3CDTF">2019-05-28T10:58:00Z</dcterms:created>
  <dcterms:modified xsi:type="dcterms:W3CDTF">2019-05-28T10:59:00Z</dcterms:modified>
</cp:coreProperties>
</file>