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319E1" w14:textId="433171D5" w:rsidR="00992A10" w:rsidRDefault="00F700E7" w:rsidP="00F700E7">
      <w:pPr>
        <w:jc w:val="center"/>
        <w:rPr>
          <w:b/>
          <w:bCs/>
          <w:u w:val="single"/>
        </w:rPr>
      </w:pPr>
      <w:r w:rsidRPr="00F700E7">
        <w:rPr>
          <w:b/>
          <w:bCs/>
          <w:u w:val="single"/>
        </w:rPr>
        <w:t>Insuffisance Surrénalienne</w:t>
      </w:r>
    </w:p>
    <w:p w14:paraId="3350C370" w14:textId="77777777" w:rsidR="00F700E7" w:rsidRDefault="00F700E7" w:rsidP="00F700E7">
      <w:pPr>
        <w:jc w:val="center"/>
        <w:rPr>
          <w:b/>
          <w:bCs/>
          <w:u w:val="single"/>
        </w:rPr>
      </w:pPr>
    </w:p>
    <w:p w14:paraId="350366C3" w14:textId="71D10F59" w:rsidR="00F700E7" w:rsidRPr="00F700E7" w:rsidRDefault="00F700E7" w:rsidP="00F700E7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2"/>
          <w:szCs w:val="22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fr-FR"/>
        </w:rPr>
        <w:t>1-</w:t>
      </w:r>
      <w:r w:rsidRPr="00F700E7">
        <w:rPr>
          <w:rFonts w:ascii="Times New Roman" w:eastAsia="Times New Roman" w:hAnsi="Times New Roman" w:cs="Times New Roman"/>
          <w:b/>
          <w:bCs/>
          <w:sz w:val="22"/>
          <w:szCs w:val="22"/>
          <w:lang w:eastAsia="fr-FR"/>
        </w:rPr>
        <w:t>Au cours de l’insuffisance antéhypophysaire, cochez les deux (2) propositions fausses :</w:t>
      </w:r>
    </w:p>
    <w:p w14:paraId="5E8A0E3F" w14:textId="77777777" w:rsidR="00F700E7" w:rsidRPr="00F700E7" w:rsidRDefault="00F700E7" w:rsidP="00F700E7">
      <w:pPr>
        <w:spacing w:after="200" w:line="276" w:lineRule="auto"/>
        <w:contextualSpacing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fr-FR"/>
        </w:rPr>
      </w:pPr>
      <w:r w:rsidRPr="00F700E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fr-FR"/>
        </w:rPr>
        <w:t xml:space="preserve">  a-L’axe Gonadotrope est le plus fragile, habituellement le premier touché</w:t>
      </w:r>
    </w:p>
    <w:p w14:paraId="715164B2" w14:textId="77777777" w:rsidR="00F700E7" w:rsidRPr="00F700E7" w:rsidRDefault="00F700E7" w:rsidP="00F700E7">
      <w:pPr>
        <w:spacing w:after="200" w:line="276" w:lineRule="auto"/>
        <w:contextualSpacing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fr-FR"/>
        </w:rPr>
      </w:pPr>
      <w:r w:rsidRPr="00F700E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fr-FR"/>
        </w:rPr>
        <w:t xml:space="preserve">  b-Le déficit somatotrope entraine une diminution de la masse grasse</w:t>
      </w:r>
    </w:p>
    <w:p w14:paraId="5A90EA63" w14:textId="77777777" w:rsidR="00F700E7" w:rsidRPr="00F700E7" w:rsidRDefault="00F700E7" w:rsidP="00F700E7">
      <w:pPr>
        <w:spacing w:after="200" w:line="276" w:lineRule="auto"/>
        <w:contextualSpacing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fr-FR"/>
        </w:rPr>
      </w:pPr>
      <w:r w:rsidRPr="00F700E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fr-FR"/>
        </w:rPr>
        <w:t xml:space="preserve">  c-Le déficit thyréotrope est à l’origine d’un tableau d’hypothyroïdie avec myxœdème</w:t>
      </w:r>
    </w:p>
    <w:p w14:paraId="047CBD32" w14:textId="77777777" w:rsidR="00F700E7" w:rsidRPr="00F700E7" w:rsidRDefault="00F700E7" w:rsidP="00F700E7">
      <w:pPr>
        <w:spacing w:after="200" w:line="276" w:lineRule="auto"/>
        <w:contextualSpacing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fr-FR"/>
        </w:rPr>
      </w:pPr>
      <w:r w:rsidRPr="00F700E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fr-FR"/>
        </w:rPr>
        <w:t xml:space="preserve">  d-Le déficit corticotrope engendre une insuffisance surrénale sans mélanodermie</w:t>
      </w:r>
    </w:p>
    <w:p w14:paraId="4072E9DA" w14:textId="77777777" w:rsidR="00F700E7" w:rsidRDefault="00F700E7" w:rsidP="00F700E7">
      <w:pPr>
        <w:spacing w:after="200" w:line="276" w:lineRule="auto"/>
        <w:contextualSpacing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fr-FR"/>
        </w:rPr>
      </w:pPr>
      <w:r w:rsidRPr="00F700E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fr-FR"/>
        </w:rPr>
        <w:t xml:space="preserve">  e-Le déficit en prolactine est  responsable d’absence de montée laiteuse en post-partum</w:t>
      </w:r>
    </w:p>
    <w:p w14:paraId="3F8982BA" w14:textId="77777777" w:rsidR="00F700E7" w:rsidRDefault="00F700E7" w:rsidP="00F700E7">
      <w:pPr>
        <w:spacing w:after="200" w:line="276" w:lineRule="auto"/>
        <w:contextualSpacing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fr-FR"/>
        </w:rPr>
      </w:pPr>
    </w:p>
    <w:p w14:paraId="6BBEC443" w14:textId="0B8E6A9E" w:rsidR="00F700E7" w:rsidRPr="00F700E7" w:rsidRDefault="00F700E7" w:rsidP="00F700E7">
      <w:pPr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fr-FR"/>
        </w:rPr>
      </w:pPr>
      <w:r w:rsidRPr="00F700E7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fr-FR"/>
        </w:rPr>
        <w:t>2- Quelles est l’étiologie la plus fréquence à la maladie d’Addisson :</w:t>
      </w:r>
    </w:p>
    <w:p w14:paraId="286857B1" w14:textId="2E3474A3" w:rsidR="00F700E7" w:rsidRDefault="00F700E7" w:rsidP="00F700E7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fr-FR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fr-FR"/>
        </w:rPr>
        <w:t xml:space="preserve">  a-La tuberculose </w:t>
      </w:r>
    </w:p>
    <w:p w14:paraId="0B531CA5" w14:textId="11DC0703" w:rsidR="00F700E7" w:rsidRDefault="00F700E7" w:rsidP="00F700E7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fr-FR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fr-FR"/>
        </w:rPr>
        <w:t xml:space="preserve">  b-L’auto-immunité </w:t>
      </w:r>
    </w:p>
    <w:p w14:paraId="133A70B0" w14:textId="2DC8AF5A" w:rsidR="00F700E7" w:rsidRDefault="00F700E7" w:rsidP="00F700E7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fr-FR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fr-FR"/>
        </w:rPr>
        <w:t xml:space="preserve">  c- L’hémorragie des surrénales </w:t>
      </w:r>
    </w:p>
    <w:p w14:paraId="06248203" w14:textId="51BEFE0C" w:rsidR="00F700E7" w:rsidRDefault="00F700E7" w:rsidP="00F700E7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fr-FR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fr-FR"/>
        </w:rPr>
        <w:t xml:space="preserve">  d- Le VIH </w:t>
      </w:r>
    </w:p>
    <w:p w14:paraId="515A919C" w14:textId="05B53D0E" w:rsidR="00F700E7" w:rsidRPr="00F700E7" w:rsidRDefault="00F700E7" w:rsidP="00F700E7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fr-FR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fr-FR"/>
        </w:rPr>
        <w:t xml:space="preserve">  e- Aucune de ces réponses </w:t>
      </w:r>
    </w:p>
    <w:p w14:paraId="13821D00" w14:textId="77777777" w:rsidR="00F700E7" w:rsidRDefault="00F700E7" w:rsidP="00F700E7">
      <w:pPr>
        <w:spacing w:after="200" w:line="276" w:lineRule="auto"/>
        <w:contextualSpacing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fr-FR"/>
        </w:rPr>
      </w:pPr>
    </w:p>
    <w:p w14:paraId="20C156BA" w14:textId="68EB7BB9" w:rsidR="00F700E7" w:rsidRPr="00F700E7" w:rsidRDefault="00F700E7" w:rsidP="00F700E7">
      <w:pPr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fr-FR"/>
        </w:rPr>
      </w:pPr>
      <w:r w:rsidRPr="00F700E7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fr-FR"/>
        </w:rPr>
        <w:t>3- Quel test biologique permet de confirmer l’insuffisance surrénalienne :</w:t>
      </w:r>
    </w:p>
    <w:p w14:paraId="7FB2281F" w14:textId="455CE543" w:rsidR="00F700E7" w:rsidRDefault="00F700E7" w:rsidP="00F700E7">
      <w:pPr>
        <w:spacing w:after="200" w:line="276" w:lineRule="auto"/>
        <w:contextualSpacing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fr-FR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fr-FR"/>
        </w:rPr>
        <w:t xml:space="preserve">  a-Un ionogramme</w:t>
      </w:r>
    </w:p>
    <w:p w14:paraId="3B5A989F" w14:textId="7E045BB0" w:rsidR="00F700E7" w:rsidRDefault="00F700E7" w:rsidP="00F700E7">
      <w:pPr>
        <w:spacing w:after="200" w:line="276" w:lineRule="auto"/>
        <w:contextualSpacing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fr-FR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fr-FR"/>
        </w:rPr>
        <w:t xml:space="preserve">  b-</w:t>
      </w:r>
      <w:r w:rsidR="00CE6A5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fr-FR"/>
        </w:rPr>
        <w:t xml:space="preserve">Un cortisol de base </w:t>
      </w:r>
    </w:p>
    <w:p w14:paraId="2772E95D" w14:textId="7D003271" w:rsidR="00F700E7" w:rsidRDefault="00F700E7" w:rsidP="00F700E7">
      <w:pPr>
        <w:spacing w:after="200" w:line="276" w:lineRule="auto"/>
        <w:contextualSpacing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fr-FR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fr-FR"/>
        </w:rPr>
        <w:t xml:space="preserve">  c- Un cortisol sous Synacthène 0.25mg</w:t>
      </w:r>
    </w:p>
    <w:p w14:paraId="7D7EEFFF" w14:textId="184C236F" w:rsidR="00F700E7" w:rsidRDefault="00F700E7" w:rsidP="00F700E7">
      <w:pPr>
        <w:spacing w:after="200" w:line="276" w:lineRule="auto"/>
        <w:contextualSpacing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fr-FR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fr-FR"/>
        </w:rPr>
        <w:t xml:space="preserve">  d-Un test de freinage mn </w:t>
      </w:r>
    </w:p>
    <w:p w14:paraId="36690223" w14:textId="74AE79E0" w:rsidR="00F700E7" w:rsidRDefault="00F700E7" w:rsidP="00F700E7">
      <w:pPr>
        <w:spacing w:after="200" w:line="276" w:lineRule="auto"/>
        <w:contextualSpacing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fr-FR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fr-FR"/>
        </w:rPr>
        <w:t xml:space="preserve">  e- Un test de freinage fort </w:t>
      </w:r>
    </w:p>
    <w:p w14:paraId="1461F612" w14:textId="77777777" w:rsidR="00F700E7" w:rsidRDefault="00F700E7" w:rsidP="00F700E7">
      <w:pPr>
        <w:spacing w:after="200" w:line="276" w:lineRule="auto"/>
        <w:contextualSpacing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fr-FR"/>
        </w:rPr>
      </w:pPr>
    </w:p>
    <w:p w14:paraId="162C40CF" w14:textId="68AC1D78" w:rsidR="00F700E7" w:rsidRDefault="00F700E7" w:rsidP="00F700E7">
      <w:pPr>
        <w:spacing w:after="200" w:line="276" w:lineRule="auto"/>
        <w:contextualSpacing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fr-FR"/>
        </w:rPr>
      </w:pPr>
      <w:r w:rsidRPr="00F700E7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fr-FR"/>
        </w:rPr>
        <w:t>4- Quelle prise en charge proposée en cas de décompensation aigue d’une IS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fr-FR"/>
        </w:rPr>
        <w:t> :</w:t>
      </w:r>
    </w:p>
    <w:p w14:paraId="0285ADC1" w14:textId="77777777" w:rsidR="00F700E7" w:rsidRDefault="00F700E7" w:rsidP="00F700E7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fr-FR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fr-FR"/>
        </w:rPr>
        <w:t xml:space="preserve">  a-</w:t>
      </w:r>
      <w:r w:rsidRPr="00F700E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fr-FR"/>
        </w:rPr>
        <w:t xml:space="preserve">Réhydratation </w:t>
      </w:r>
    </w:p>
    <w:p w14:paraId="4FF0E8AE" w14:textId="5D676D93" w:rsidR="00F700E7" w:rsidRDefault="00F700E7" w:rsidP="00F700E7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fr-FR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fr-FR"/>
        </w:rPr>
        <w:t xml:space="preserve">  b- 100 mg d’hydrocortisone en IV </w:t>
      </w:r>
    </w:p>
    <w:p w14:paraId="1DC5D6B4" w14:textId="083E60E8" w:rsidR="00F700E7" w:rsidRDefault="00F700E7" w:rsidP="00F700E7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fr-FR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fr-FR"/>
        </w:rPr>
        <w:t xml:space="preserve">  c- 30 mg d’ hyrocortisone en per os </w:t>
      </w:r>
    </w:p>
    <w:p w14:paraId="31BF0B07" w14:textId="5FBB145B" w:rsidR="00F700E7" w:rsidRDefault="00F700E7" w:rsidP="00F700E7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fr-FR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fr-FR"/>
        </w:rPr>
        <w:t xml:space="preserve">  d- Traitement d’un foyer infectieux </w:t>
      </w:r>
    </w:p>
    <w:p w14:paraId="17EDF16F" w14:textId="4E909464" w:rsidR="00F700E7" w:rsidRDefault="00F700E7" w:rsidP="00F700E7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fr-FR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fr-FR"/>
        </w:rPr>
        <w:t xml:space="preserve">  e- Aucune de ses propositions </w:t>
      </w:r>
    </w:p>
    <w:p w14:paraId="784A86B6" w14:textId="77777777" w:rsidR="00F700E7" w:rsidRDefault="00F700E7" w:rsidP="00F700E7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fr-FR"/>
        </w:rPr>
      </w:pPr>
    </w:p>
    <w:p w14:paraId="64C93CF3" w14:textId="09D10CA7" w:rsidR="00F700E7" w:rsidRPr="00CE6A52" w:rsidRDefault="00F700E7" w:rsidP="00F700E7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fr-FR"/>
        </w:rPr>
      </w:pPr>
      <w:r w:rsidRPr="00CE6A52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fr-FR"/>
        </w:rPr>
        <w:t>5- Au</w:t>
      </w:r>
      <w:r w:rsidR="00CE6A52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fr-FR"/>
        </w:rPr>
        <w:t xml:space="preserve"> </w:t>
      </w:r>
      <w:r w:rsidRPr="00CE6A52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fr-FR"/>
        </w:rPr>
        <w:t xml:space="preserve">cours de l’IS centrale on observe tous ces signes cliniques sauf un, lequel ? </w:t>
      </w:r>
    </w:p>
    <w:p w14:paraId="717A5BCF" w14:textId="689D1B2D" w:rsidR="00F700E7" w:rsidRDefault="00F700E7" w:rsidP="00F700E7">
      <w:pPr>
        <w:pStyle w:val="Paragraphedeliste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fr-FR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fr-FR"/>
        </w:rPr>
        <w:t>Mélanodermie</w:t>
      </w:r>
    </w:p>
    <w:p w14:paraId="2013E237" w14:textId="15E1B608" w:rsidR="00F700E7" w:rsidRDefault="00F700E7" w:rsidP="00F700E7">
      <w:pPr>
        <w:pStyle w:val="Paragraphedeliste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fr-FR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fr-FR"/>
        </w:rPr>
        <w:t>Malaises hypoglycémique</w:t>
      </w:r>
      <w:r w:rsidR="00CE6A5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fr-FR"/>
        </w:rPr>
        <w:t>s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fr-FR"/>
        </w:rPr>
        <w:t xml:space="preserve"> </w:t>
      </w:r>
    </w:p>
    <w:p w14:paraId="61077E49" w14:textId="65510C21" w:rsidR="00F700E7" w:rsidRDefault="00F700E7" w:rsidP="00F700E7">
      <w:pPr>
        <w:pStyle w:val="Paragraphedeliste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fr-FR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fr-FR"/>
        </w:rPr>
        <w:t xml:space="preserve">Une dépigmentation </w:t>
      </w:r>
    </w:p>
    <w:p w14:paraId="6B71BF9E" w14:textId="104D3C06" w:rsidR="00F700E7" w:rsidRDefault="00CE6A52" w:rsidP="00F700E7">
      <w:pPr>
        <w:pStyle w:val="Paragraphedeliste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fr-FR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fr-FR"/>
        </w:rPr>
        <w:t xml:space="preserve">Une asthénie </w:t>
      </w:r>
    </w:p>
    <w:p w14:paraId="7ED6EA26" w14:textId="29465253" w:rsidR="00CE6A52" w:rsidRPr="00F700E7" w:rsidRDefault="00CE6A52" w:rsidP="00F700E7">
      <w:pPr>
        <w:pStyle w:val="Paragraphedeliste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fr-FR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fr-FR"/>
        </w:rPr>
        <w:t xml:space="preserve">Une anorexie </w:t>
      </w:r>
    </w:p>
    <w:p w14:paraId="3DFE5381" w14:textId="0870FC02" w:rsidR="00F700E7" w:rsidRPr="00F700E7" w:rsidRDefault="00F700E7" w:rsidP="00F700E7">
      <w:pPr>
        <w:rPr>
          <w:b/>
          <w:bCs/>
          <w:u w:val="single"/>
        </w:rPr>
      </w:pPr>
    </w:p>
    <w:sectPr w:rsidR="00F700E7" w:rsidRPr="00F70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4131"/>
    <w:multiLevelType w:val="hybridMultilevel"/>
    <w:tmpl w:val="08808668"/>
    <w:lvl w:ilvl="0" w:tplc="9668987A">
      <w:start w:val="1"/>
      <w:numFmt w:val="lowerLetter"/>
      <w:lvlText w:val="%1-"/>
      <w:lvlJc w:val="left"/>
      <w:pPr>
        <w:ind w:left="4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451C7A0E"/>
    <w:multiLevelType w:val="hybridMultilevel"/>
    <w:tmpl w:val="3D706770"/>
    <w:lvl w:ilvl="0" w:tplc="EE70BEF4">
      <w:start w:val="1"/>
      <w:numFmt w:val="lowerLetter"/>
      <w:lvlText w:val="%1-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17F6DC4"/>
    <w:multiLevelType w:val="hybridMultilevel"/>
    <w:tmpl w:val="A674194C"/>
    <w:lvl w:ilvl="0" w:tplc="7666A9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900131"/>
    <w:multiLevelType w:val="hybridMultilevel"/>
    <w:tmpl w:val="0E623EDC"/>
    <w:lvl w:ilvl="0" w:tplc="EE0C06E6">
      <w:start w:val="1"/>
      <w:numFmt w:val="lowerLetter"/>
      <w:lvlText w:val="%1-"/>
      <w:lvlJc w:val="left"/>
      <w:pPr>
        <w:ind w:left="4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7C8378D5"/>
    <w:multiLevelType w:val="hybridMultilevel"/>
    <w:tmpl w:val="D07E2ECE"/>
    <w:lvl w:ilvl="0" w:tplc="0ECE515C">
      <w:start w:val="1"/>
      <w:numFmt w:val="lowerLetter"/>
      <w:lvlText w:val="%1-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88645359">
    <w:abstractNumId w:val="2"/>
  </w:num>
  <w:num w:numId="2" w16cid:durableId="1900746128">
    <w:abstractNumId w:val="1"/>
  </w:num>
  <w:num w:numId="3" w16cid:durableId="1563983192">
    <w:abstractNumId w:val="3"/>
  </w:num>
  <w:num w:numId="4" w16cid:durableId="373702635">
    <w:abstractNumId w:val="0"/>
  </w:num>
  <w:num w:numId="5" w16cid:durableId="5756690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A10"/>
    <w:rsid w:val="0079206B"/>
    <w:rsid w:val="00992A10"/>
    <w:rsid w:val="00CE6A52"/>
    <w:rsid w:val="00F7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9BEE3"/>
  <w15:chartTrackingRefBased/>
  <w15:docId w15:val="{2C312FC6-F3EF-4EC3-B485-141B5ACA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92A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92A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92A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92A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92A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92A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92A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92A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92A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92A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92A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92A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92A1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92A1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92A1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92A1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92A1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92A1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92A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92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92A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92A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92A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92A1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92A1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92A1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92A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92A1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92A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KHELLIL NOUR EL HOUDA</dc:creator>
  <cp:keywords/>
  <dc:description/>
  <cp:lastModifiedBy>KHELLIL NOUR EL HOUDA</cp:lastModifiedBy>
  <cp:revision>2</cp:revision>
  <dcterms:created xsi:type="dcterms:W3CDTF">2025-03-14T14:18:00Z</dcterms:created>
  <dcterms:modified xsi:type="dcterms:W3CDTF">2025-03-14T14:30:00Z</dcterms:modified>
</cp:coreProperties>
</file>