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0B3CD" w14:textId="4554FDED" w:rsidR="00487657" w:rsidRDefault="00F842C7" w:rsidP="00F842C7">
      <w:pPr>
        <w:spacing w:after="120" w:line="360" w:lineRule="auto"/>
        <w:jc w:val="both"/>
        <w:rPr>
          <w:rFonts w:ascii="Georgia" w:hAnsi="Georgia"/>
          <w:sz w:val="27"/>
          <w:szCs w:val="27"/>
          <w:shd w:val="clear" w:color="auto" w:fill="FFFFFF"/>
          <w:lang w:val="fr-FR"/>
        </w:rPr>
      </w:pPr>
      <w:r>
        <w:rPr>
          <w:rFonts w:ascii="Georgia" w:hAnsi="Georgia"/>
          <w:sz w:val="27"/>
          <w:szCs w:val="27"/>
          <w:shd w:val="clear" w:color="auto" w:fill="FFFFFF"/>
          <w:lang w:val="fr-FR"/>
        </w:rPr>
        <w:t>« </w:t>
      </w:r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 xml:space="preserve">Pour la mémoire, je crois que celle des choses matérielles dépend des vestiges qui demeurent dans le cerveau, après que quelque image y a été imprimée, et que celle des choses </w:t>
      </w:r>
      <w:r w:rsidR="009558E7">
        <w:rPr>
          <w:rFonts w:ascii="Georgia" w:hAnsi="Georgia"/>
          <w:sz w:val="27"/>
          <w:szCs w:val="27"/>
          <w:shd w:val="clear" w:color="auto" w:fill="FFFFFF"/>
          <w:lang w:val="fr-FR"/>
        </w:rPr>
        <w:t>intellectuelles</w:t>
      </w:r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 xml:space="preserve"> dépend de quelques autres vestiges, qui demeurent en la pensée même. Mais ceux-ci sont tout d'un autre genre que ceux-là, et je ne les saurais expliquer par aucun exemple tiré des choses corporelles, qui n</w:t>
      </w:r>
      <w:r>
        <w:rPr>
          <w:rFonts w:ascii="Georgia" w:hAnsi="Georgia"/>
          <w:sz w:val="27"/>
          <w:szCs w:val="27"/>
          <w:shd w:val="clear" w:color="auto" w:fill="FFFFFF"/>
          <w:lang w:val="fr-FR"/>
        </w:rPr>
        <w:t>’</w:t>
      </w:r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>en soit fort différent ; au lieu que les vestiges du cerveau le rendent propre à mouvoir l'âme, en la même façon qu</w:t>
      </w:r>
      <w:r>
        <w:rPr>
          <w:rFonts w:ascii="Georgia" w:hAnsi="Georgia"/>
          <w:sz w:val="27"/>
          <w:szCs w:val="27"/>
          <w:shd w:val="clear" w:color="auto" w:fill="FFFFFF"/>
          <w:lang w:val="fr-FR"/>
        </w:rPr>
        <w:t>’</w:t>
      </w:r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>il l</w:t>
      </w:r>
      <w:r>
        <w:rPr>
          <w:rFonts w:ascii="Georgia" w:hAnsi="Georgia"/>
          <w:sz w:val="27"/>
          <w:szCs w:val="27"/>
          <w:shd w:val="clear" w:color="auto" w:fill="FFFFFF"/>
          <w:lang w:val="fr-FR"/>
        </w:rPr>
        <w:t>’</w:t>
      </w:r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 xml:space="preserve">avait mue auparavant, et ainsi </w:t>
      </w:r>
      <w:proofErr w:type="spellStart"/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>a</w:t>
      </w:r>
      <w:proofErr w:type="spellEnd"/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 xml:space="preserve"> la faire souvenir de quelque chose ; tout de même que les plis qui sont dans un morceau de papier, ou dans un linge, font qu</w:t>
      </w:r>
      <w:r>
        <w:rPr>
          <w:rFonts w:ascii="Georgia" w:hAnsi="Georgia"/>
          <w:sz w:val="27"/>
          <w:szCs w:val="27"/>
          <w:shd w:val="clear" w:color="auto" w:fill="FFFFFF"/>
          <w:lang w:val="fr-FR"/>
        </w:rPr>
        <w:t>’</w:t>
      </w:r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>il est plus propre à être plié derechef comme il a été auparavant, que s</w:t>
      </w:r>
      <w:r>
        <w:rPr>
          <w:rFonts w:ascii="Georgia" w:hAnsi="Georgia"/>
          <w:sz w:val="27"/>
          <w:szCs w:val="27"/>
          <w:shd w:val="clear" w:color="auto" w:fill="FFFFFF"/>
          <w:lang w:val="fr-FR"/>
        </w:rPr>
        <w:t>’</w:t>
      </w:r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>il n</w:t>
      </w:r>
      <w:r>
        <w:rPr>
          <w:rFonts w:ascii="Georgia" w:hAnsi="Georgia"/>
          <w:sz w:val="27"/>
          <w:szCs w:val="27"/>
          <w:shd w:val="clear" w:color="auto" w:fill="FFFFFF"/>
          <w:lang w:val="fr-FR"/>
        </w:rPr>
        <w:t>’</w:t>
      </w:r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>avait jamais été ainsi plié</w:t>
      </w:r>
      <w:r>
        <w:rPr>
          <w:rFonts w:ascii="Georgia" w:hAnsi="Georgia"/>
          <w:sz w:val="27"/>
          <w:szCs w:val="27"/>
          <w:shd w:val="clear" w:color="auto" w:fill="FFFFFF"/>
          <w:lang w:val="fr-FR"/>
        </w:rPr>
        <w:t> »</w:t>
      </w:r>
      <w:r w:rsidRPr="00F842C7">
        <w:rPr>
          <w:rFonts w:ascii="Georgia" w:hAnsi="Georgia"/>
          <w:sz w:val="27"/>
          <w:szCs w:val="27"/>
          <w:shd w:val="clear" w:color="auto" w:fill="FFFFFF"/>
          <w:lang w:val="fr-FR"/>
        </w:rPr>
        <w:t>.</w:t>
      </w:r>
    </w:p>
    <w:p w14:paraId="1864C032" w14:textId="6C2DEEB7" w:rsidR="00F842C7" w:rsidRDefault="00F842C7" w:rsidP="00F842C7">
      <w:pPr>
        <w:jc w:val="both"/>
        <w:rPr>
          <w:rFonts w:ascii="Georgia" w:hAnsi="Georgia"/>
          <w:sz w:val="27"/>
          <w:szCs w:val="27"/>
          <w:shd w:val="clear" w:color="auto" w:fill="FFFFFF"/>
          <w:lang w:val="fr-FR"/>
        </w:rPr>
      </w:pPr>
    </w:p>
    <w:p w14:paraId="392BD74B" w14:textId="02801655" w:rsidR="00F842C7" w:rsidRPr="00F842C7" w:rsidRDefault="00F842C7" w:rsidP="00F842C7">
      <w:pPr>
        <w:jc w:val="center"/>
        <w:rPr>
          <w:b/>
          <w:bCs/>
          <w:sz w:val="24"/>
          <w:szCs w:val="24"/>
          <w:lang w:val="fr-FR"/>
        </w:rPr>
      </w:pPr>
      <w:r w:rsidRPr="00F842C7">
        <w:rPr>
          <w:rFonts w:ascii="Georgia" w:hAnsi="Georgia"/>
          <w:b/>
          <w:bCs/>
          <w:sz w:val="28"/>
          <w:szCs w:val="28"/>
          <w:shd w:val="clear" w:color="auto" w:fill="FFFFFF"/>
          <w:lang w:val="fr-FR"/>
        </w:rPr>
        <w:t xml:space="preserve">Descartes, </w:t>
      </w:r>
      <w:r w:rsidRPr="00F842C7">
        <w:rPr>
          <w:rFonts w:ascii="Georgia" w:hAnsi="Georgia"/>
          <w:b/>
          <w:bCs/>
          <w:i/>
          <w:iCs/>
          <w:sz w:val="28"/>
          <w:szCs w:val="28"/>
          <w:shd w:val="clear" w:color="auto" w:fill="FFFFFF"/>
          <w:lang w:val="fr-FR"/>
        </w:rPr>
        <w:t>« </w:t>
      </w:r>
      <w:r w:rsidRPr="00F842C7">
        <w:rPr>
          <w:rFonts w:ascii="Georgia" w:hAnsi="Georgia"/>
          <w:b/>
          <w:bCs/>
          <w:i/>
          <w:iCs/>
          <w:sz w:val="28"/>
          <w:szCs w:val="28"/>
          <w:shd w:val="clear" w:color="auto" w:fill="FFFFFF"/>
          <w:lang w:val="fr-FR"/>
        </w:rPr>
        <w:t>Lettre au père Mesland</w:t>
      </w:r>
      <w:r w:rsidRPr="00F842C7">
        <w:rPr>
          <w:rFonts w:ascii="Georgia" w:hAnsi="Georgia"/>
          <w:b/>
          <w:bCs/>
          <w:i/>
          <w:iCs/>
          <w:sz w:val="28"/>
          <w:szCs w:val="28"/>
          <w:shd w:val="clear" w:color="auto" w:fill="FFFFFF"/>
          <w:lang w:val="fr-FR"/>
        </w:rPr>
        <w:t> »</w:t>
      </w:r>
      <w:r w:rsidRPr="00F842C7">
        <w:rPr>
          <w:rFonts w:ascii="Georgia" w:hAnsi="Georgia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, </w:t>
      </w:r>
      <w:r w:rsidRPr="00F842C7">
        <w:rPr>
          <w:rFonts w:ascii="Georgia" w:hAnsi="Georgia"/>
          <w:b/>
          <w:bCs/>
          <w:sz w:val="28"/>
          <w:szCs w:val="28"/>
          <w:shd w:val="clear" w:color="auto" w:fill="FFFFFF"/>
          <w:lang w:val="fr-FR"/>
        </w:rPr>
        <w:t>2 mai 1644, Pléiade, p. 1164 - 1165.</w:t>
      </w:r>
    </w:p>
    <w:sectPr w:rsidR="00F842C7" w:rsidRPr="00F84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10131A"/>
    <w:rsid w:val="00323480"/>
    <w:rsid w:val="00487657"/>
    <w:rsid w:val="00861C7D"/>
    <w:rsid w:val="009558E7"/>
    <w:rsid w:val="00AD2B72"/>
    <w:rsid w:val="00D1338B"/>
    <w:rsid w:val="00F8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732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7</cp:revision>
  <dcterms:created xsi:type="dcterms:W3CDTF">2020-12-20T18:07:00Z</dcterms:created>
  <dcterms:modified xsi:type="dcterms:W3CDTF">2020-12-30T07:21:00Z</dcterms:modified>
</cp:coreProperties>
</file>