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0286F">
      <w:pPr>
        <w:bidi/>
        <w:spacing w:line="273" w:lineRule="auto"/>
        <w:jc w:val="center"/>
        <w:rPr>
          <w:rFonts w:ascii="Sakkal Majalla" w:hAnsi="Sakkal Majalla" w:cs="Sakkal Majalla"/>
          <w:bCs/>
          <w:color w:val="C00000"/>
          <w:sz w:val="32"/>
          <w:szCs w:val="32"/>
          <w:rtl/>
          <w:lang w:bidi="ar-DZ"/>
        </w:rPr>
      </w:pPr>
    </w:p>
    <w:p w14:paraId="093E39C1">
      <w:pPr>
        <w:bidi/>
        <w:spacing w:line="273" w:lineRule="auto"/>
        <w:jc w:val="center"/>
        <w:rPr>
          <w:rFonts w:ascii="Sakkal Majalla" w:hAnsi="Sakkal Majalla" w:cs="Sakkal Majalla"/>
          <w:bCs/>
          <w:color w:val="C00000"/>
          <w:sz w:val="32"/>
          <w:szCs w:val="32"/>
          <w:rtl/>
          <w:lang w:val="en-US" w:bidi="ar-DZ"/>
        </w:rPr>
      </w:pPr>
      <w:r>
        <w:rPr>
          <w:rFonts w:hint="cs" w:ascii="Sakkal Majalla" w:hAnsi="Sakkal Majalla" w:cs="Sakkal Majalla"/>
          <w:bCs/>
          <w:color w:val="C00000"/>
          <w:sz w:val="32"/>
          <w:szCs w:val="32"/>
          <w:rtl/>
          <w:lang w:bidi="ar-DZ"/>
        </w:rPr>
        <w:t>المحاضرة</w:t>
      </w:r>
      <w:r>
        <w:rPr>
          <w:rFonts w:hint="cs" w:ascii="Sakkal Majalla" w:hAnsi="Sakkal Majalla" w:cs="Sakkal Majalla"/>
          <w:bCs/>
          <w:color w:val="C00000"/>
          <w:sz w:val="32"/>
          <w:szCs w:val="32"/>
          <w:rtl/>
          <w:lang w:val="en-US" w:bidi="ar-DZ"/>
        </w:rPr>
        <w:t xml:space="preserve"> رقم 1 : </w:t>
      </w:r>
      <w:r>
        <w:rPr>
          <w:rFonts w:hint="cs" w:ascii="Sakkal Majalla" w:hAnsi="Sakkal Majalla" w:cs="Sakkal Majalla"/>
          <w:bCs/>
          <w:color w:val="C00000"/>
          <w:sz w:val="32"/>
          <w:szCs w:val="32"/>
          <w:rtl/>
          <w:lang w:bidi="ar-DZ"/>
        </w:rPr>
        <w:t>عموميات في مقياس التسيير المالي المعمق</w:t>
      </w:r>
    </w:p>
    <w:p w14:paraId="15534C91">
      <w:pPr>
        <w:bidi/>
        <w:spacing w:line="273" w:lineRule="auto"/>
        <w:jc w:val="center"/>
        <w:rPr>
          <w:rFonts w:ascii="Sakkal Majalla" w:hAnsi="Sakkal Majalla" w:cs="Sakkal Majalla"/>
          <w:bCs/>
          <w:color w:val="C00000"/>
          <w:sz w:val="32"/>
          <w:szCs w:val="32"/>
          <w:lang w:val="en-US" w:bidi="ar-DZ"/>
        </w:rPr>
      </w:pPr>
    </w:p>
    <w:p w14:paraId="278834C1">
      <w:pPr>
        <w:numPr>
          <w:ilvl w:val="0"/>
          <w:numId w:val="1"/>
        </w:numPr>
        <w:bidi/>
        <w:spacing w:line="273" w:lineRule="auto"/>
        <w:ind w:left="420" w:leftChars="0" w:hanging="420" w:firstLineChars="0"/>
        <w:jc w:val="both"/>
        <w:rPr>
          <w:b/>
          <w:bCs/>
          <w:color w:val="0000FF"/>
          <w:u w:val="single"/>
          <w:rtl/>
        </w:rPr>
      </w:pPr>
      <w:bookmarkStart w:id="0" w:name="_Hlk190615290"/>
      <w:r>
        <w:rPr>
          <w:rFonts w:hint="cs"/>
          <w:b/>
          <w:bCs/>
          <w:color w:val="0000FF"/>
          <w:u w:val="single"/>
          <w:rtl/>
        </w:rPr>
        <w:t>مقدمة :</w:t>
      </w:r>
      <w:bookmarkEnd w:id="0"/>
    </w:p>
    <w:p w14:paraId="2F5CA8E8">
      <w:pPr>
        <w:bidi/>
        <w:spacing w:line="273" w:lineRule="auto"/>
        <w:jc w:val="both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التسيير المالي المعمق</w:t>
      </w: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(Advanced Financial Management)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يشير إلى الممارسات والأساليب المتقدمة في إدارة الموارد المالية للمؤسسات بطريقة استراتيجية وفعالة، متجاوزاً المفاهيم الأساسية للإدارة المالية</w:t>
      </w: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>.</w:t>
      </w:r>
    </w:p>
    <w:p w14:paraId="10C88920">
      <w:pPr>
        <w:spacing w:line="273" w:lineRule="auto"/>
        <w:jc w:val="righ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784156FB">
      <w:pPr>
        <w:numPr>
          <w:ilvl w:val="0"/>
          <w:numId w:val="2"/>
        </w:numPr>
        <w:bidi/>
        <w:spacing w:line="273" w:lineRule="auto"/>
        <w:ind w:left="420" w:leftChars="0" w:hanging="420" w:firstLineChars="0"/>
        <w:jc w:val="both"/>
        <w:rPr>
          <w:rFonts w:ascii="Arial" w:hAnsi="Arial" w:eastAsia="Arial"/>
          <w:b/>
          <w:bCs/>
          <w:color w:val="0000FF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b/>
          <w:bCs/>
          <w:color w:val="0000FF"/>
          <w:sz w:val="26"/>
          <w:szCs w:val="26"/>
          <w:shd w:val="clear" w:color="auto" w:fill="FFFFFF"/>
          <w:rtl/>
          <w:lang w:bidi="ar-DZ"/>
        </w:rPr>
        <w:t>المجالات الرئيسية للتسيير المالي المعمق</w:t>
      </w:r>
      <w:r>
        <w:rPr>
          <w:rFonts w:ascii="Arial" w:hAnsi="Arial" w:eastAsia="Arial"/>
          <w:b/>
          <w:bCs/>
          <w:color w:val="0000FF"/>
          <w:sz w:val="26"/>
          <w:szCs w:val="26"/>
          <w:shd w:val="clear" w:color="auto" w:fill="FFFFFF"/>
          <w:lang w:bidi="ar-DZ"/>
        </w:rPr>
        <w:t>:</w:t>
      </w:r>
    </w:p>
    <w:p w14:paraId="7DB2CA86">
      <w:pPr>
        <w:bidi/>
        <w:spacing w:line="273" w:lineRule="auto"/>
        <w:jc w:val="both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hint="cs" w:ascii="Arial" w:hAnsi="Arial" w:eastAsia="Arial"/>
          <w:sz w:val="26"/>
          <w:szCs w:val="26"/>
          <w:shd w:val="clear" w:color="auto" w:fill="FFFFFF"/>
          <w:rtl/>
          <w:lang w:bidi="ar-DZ"/>
        </w:rPr>
        <w:t>تتعدد</w:t>
      </w:r>
      <w:r>
        <w:rPr>
          <w:rFonts w:hint="cs" w:ascii="Arial" w:hAnsi="Arial" w:eastAsia="Arial"/>
          <w:sz w:val="26"/>
          <w:szCs w:val="26"/>
          <w:shd w:val="clear" w:color="auto" w:fill="FFFFFF"/>
          <w:rtl/>
          <w:lang w:val="en-US" w:bidi="ar-DZ"/>
        </w:rPr>
        <w:t xml:space="preserve"> مجالات التسيير المالي المعمق ، لذا سوف نتطرق الى البعض منها و التي تعد مهمة و أساسية:</w:t>
      </w:r>
    </w:p>
    <w:p w14:paraId="4F1073E2">
      <w:pPr>
        <w:numPr>
          <w:ilvl w:val="0"/>
          <w:numId w:val="3"/>
        </w:numPr>
        <w:bidi/>
        <w:spacing w:line="273" w:lineRule="auto"/>
        <w:ind w:left="420" w:leftChars="0" w:hanging="420" w:firstLineChars="0"/>
        <w:jc w:val="left"/>
        <w:rPr>
          <w:rFonts w:ascii="Arial" w:hAnsi="Arial" w:eastAsia="Arial"/>
          <w:b/>
          <w:bCs/>
          <w:color w:val="7030A0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b/>
          <w:bCs/>
          <w:color w:val="7030A0"/>
          <w:sz w:val="26"/>
          <w:szCs w:val="26"/>
          <w:shd w:val="clear" w:color="auto" w:fill="FFFFFF"/>
          <w:rtl/>
          <w:lang w:bidi="ar-DZ"/>
        </w:rPr>
        <w:t>التخطيط المالي الاستراتيجي</w:t>
      </w:r>
      <w:r>
        <w:rPr>
          <w:rFonts w:hint="cs" w:ascii="Arial" w:hAnsi="Arial" w:eastAsia="Arial"/>
          <w:b/>
          <w:bCs/>
          <w:color w:val="7030A0"/>
          <w:sz w:val="26"/>
          <w:szCs w:val="26"/>
          <w:shd w:val="clear" w:color="auto" w:fill="FFFFFF"/>
          <w:rtl/>
          <w:lang w:val="en-US" w:bidi="ar-DZ"/>
        </w:rPr>
        <w:t>:</w:t>
      </w:r>
    </w:p>
    <w:p w14:paraId="453A9305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تحليل السيناريوهات المالية المختلفة</w:t>
      </w:r>
    </w:p>
    <w:p w14:paraId="7327128F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التنبؤ المالي طويل المدى</w:t>
      </w:r>
    </w:p>
    <w:p w14:paraId="4404F4B9">
      <w:pPr>
        <w:bidi/>
        <w:spacing w:line="273" w:lineRule="auto"/>
        <w:jc w:val="left"/>
        <w:rPr>
          <w:rFonts w:hint="default" w:ascii="Arial" w:hAnsi="Arial" w:eastAsia="Arial"/>
          <w:sz w:val="26"/>
          <w:szCs w:val="26"/>
          <w:shd w:val="clear" w:color="auto" w:fill="FFFFFF"/>
          <w:rtl/>
          <w:lang w:val="en-US"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ربط الخطط المالية بالأهداف الاستراتيجية للمؤسسة</w:t>
      </w:r>
      <w:r>
        <w:rPr>
          <w:rFonts w:hint="cs" w:ascii="Arial" w:hAnsi="Arial" w:eastAsia="Arial"/>
          <w:sz w:val="26"/>
          <w:szCs w:val="26"/>
          <w:shd w:val="clear" w:color="auto" w:fill="FFFFFF"/>
          <w:rtl/>
          <w:lang w:val="en-US" w:bidi="ar-DZ"/>
        </w:rPr>
        <w:t>.</w:t>
      </w:r>
    </w:p>
    <w:p w14:paraId="0D2D3F37">
      <w:pPr>
        <w:numPr>
          <w:ilvl w:val="0"/>
          <w:numId w:val="3"/>
        </w:numPr>
        <w:bidi/>
        <w:spacing w:line="273" w:lineRule="auto"/>
        <w:ind w:left="420" w:leftChars="0" w:hanging="420" w:firstLineChars="0"/>
        <w:jc w:val="left"/>
        <w:rPr>
          <w:rFonts w:hint="default" w:ascii="Arial" w:hAnsi="Arial" w:eastAsia="Arial"/>
          <w:b/>
          <w:bCs/>
          <w:color w:val="7030A0"/>
          <w:sz w:val="26"/>
          <w:szCs w:val="26"/>
          <w:shd w:val="clear" w:color="auto" w:fill="FFFFFF"/>
          <w:rtl/>
          <w:lang w:val="en-US" w:bidi="ar-DZ"/>
        </w:rPr>
      </w:pPr>
      <w:r>
        <w:rPr>
          <w:rFonts w:ascii="Arial" w:hAnsi="Arial" w:eastAsia="Arial"/>
          <w:b/>
          <w:bCs/>
          <w:color w:val="7030A0"/>
          <w:sz w:val="26"/>
          <w:szCs w:val="26"/>
          <w:shd w:val="clear" w:color="auto" w:fill="FFFFFF"/>
          <w:rtl/>
          <w:lang w:bidi="ar-DZ"/>
        </w:rPr>
        <w:t>إدارة المخاطر المالية المتقدمة</w:t>
      </w:r>
      <w:r>
        <w:rPr>
          <w:rFonts w:hint="cs" w:ascii="Arial" w:hAnsi="Arial" w:eastAsia="Arial"/>
          <w:b/>
          <w:bCs/>
          <w:color w:val="7030A0"/>
          <w:sz w:val="26"/>
          <w:szCs w:val="26"/>
          <w:shd w:val="clear" w:color="auto" w:fill="FFFFFF"/>
          <w:rtl/>
          <w:lang w:val="en-US" w:bidi="ar-DZ"/>
        </w:rPr>
        <w:t>:</w:t>
      </w:r>
    </w:p>
    <w:p w14:paraId="1BDEEAF0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استخدام المشتقات المالية للتحوط</w:t>
      </w:r>
    </w:p>
    <w:p w14:paraId="51E7B761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نماذج قياس وتقدير المخاطر المعقدة</w:t>
      </w:r>
    </w:p>
    <w:p w14:paraId="6D5FC6B6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إدارة مخاطر السيولة والائتمان والسوق</w:t>
      </w:r>
    </w:p>
    <w:p w14:paraId="0E5737EB">
      <w:pPr>
        <w:numPr>
          <w:ilvl w:val="0"/>
          <w:numId w:val="3"/>
        </w:numPr>
        <w:bidi/>
        <w:spacing w:line="273" w:lineRule="auto"/>
        <w:ind w:left="420" w:leftChars="0" w:hanging="420" w:firstLineChars="0"/>
        <w:jc w:val="left"/>
        <w:rPr>
          <w:rFonts w:ascii="Arial" w:hAnsi="Arial" w:eastAsia="Arial"/>
          <w:b/>
          <w:bCs/>
          <w:color w:val="7030A0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b/>
          <w:bCs/>
          <w:color w:val="7030A0"/>
          <w:sz w:val="26"/>
          <w:szCs w:val="26"/>
          <w:shd w:val="clear" w:color="auto" w:fill="FFFFFF"/>
          <w:rtl/>
          <w:lang w:bidi="ar-DZ"/>
        </w:rPr>
        <w:t>التمويل الهيكلي:</w:t>
      </w:r>
    </w:p>
    <w:p w14:paraId="4308F954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الهندسة المالية المتقدمة</w:t>
      </w:r>
    </w:p>
    <w:p w14:paraId="4A51E5E1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هيكلة الديون والأسهم بطرق مبتكرة</w:t>
      </w:r>
    </w:p>
    <w:p w14:paraId="1047B590">
      <w:pPr>
        <w:bidi/>
        <w:spacing w:line="273" w:lineRule="auto"/>
        <w:jc w:val="left"/>
        <w:rPr>
          <w:rFonts w:ascii="Arial" w:hAnsi="Arial" w:eastAsia="Arial"/>
          <w:b/>
          <w:bCs/>
          <w:color w:val="7030A0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تمويل المشاريع الكبرى والبنية التحتية</w:t>
      </w:r>
    </w:p>
    <w:p w14:paraId="2A0CFFCC">
      <w:pPr>
        <w:numPr>
          <w:ilvl w:val="0"/>
          <w:numId w:val="3"/>
        </w:numPr>
        <w:bidi/>
        <w:spacing w:line="273" w:lineRule="auto"/>
        <w:ind w:left="420" w:leftChars="0" w:hanging="420" w:firstLineChars="0"/>
        <w:jc w:val="left"/>
        <w:rPr>
          <w:rFonts w:ascii="Arial" w:hAnsi="Arial" w:eastAsia="Arial"/>
          <w:b/>
          <w:bCs/>
          <w:color w:val="7030A0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b/>
          <w:bCs/>
          <w:color w:val="7030A0"/>
          <w:sz w:val="26"/>
          <w:szCs w:val="26"/>
          <w:shd w:val="clear" w:color="auto" w:fill="FFFFFF"/>
          <w:rtl/>
          <w:lang w:bidi="ar-DZ"/>
        </w:rPr>
        <w:t>اتخاذ القرارات الاستثمارية المعقدة:</w:t>
      </w:r>
    </w:p>
    <w:p w14:paraId="4FBE0E93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تقييم خيارات الاستثمار الاستراتيجي</w:t>
      </w:r>
    </w:p>
    <w:p w14:paraId="4941F298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تحليل الاندماج والاستحواذ</w:t>
      </w:r>
    </w:p>
    <w:p w14:paraId="02049F38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تقييم الاستثمارات الدولية والمشتركة</w:t>
      </w:r>
    </w:p>
    <w:p w14:paraId="313E133E">
      <w:pPr>
        <w:numPr>
          <w:ilvl w:val="0"/>
          <w:numId w:val="3"/>
        </w:numPr>
        <w:bidi/>
        <w:spacing w:line="273" w:lineRule="auto"/>
        <w:ind w:left="420" w:leftChars="0" w:hanging="420" w:firstLineChars="0"/>
        <w:jc w:val="both"/>
        <w:rPr>
          <w:rFonts w:ascii="Arial" w:hAnsi="Arial" w:eastAsia="Arial"/>
          <w:b/>
          <w:bCs/>
          <w:color w:val="7030A0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إ</w:t>
      </w:r>
      <w:r>
        <w:rPr>
          <w:rFonts w:ascii="Arial" w:hAnsi="Arial" w:eastAsia="Arial"/>
          <w:b/>
          <w:bCs/>
          <w:color w:val="7030A0"/>
          <w:sz w:val="26"/>
          <w:szCs w:val="26"/>
          <w:shd w:val="clear" w:color="auto" w:fill="FFFFFF"/>
          <w:rtl/>
          <w:lang w:bidi="ar-DZ"/>
        </w:rPr>
        <w:t>دارة رأس المال العامل المتقدمة</w:t>
      </w:r>
      <w:r>
        <w:rPr>
          <w:rFonts w:hint="cs" w:ascii="Arial" w:hAnsi="Arial" w:eastAsia="Arial"/>
          <w:b/>
          <w:bCs/>
          <w:color w:val="7030A0"/>
          <w:sz w:val="26"/>
          <w:szCs w:val="26"/>
          <w:shd w:val="clear" w:color="auto" w:fill="FFFFFF"/>
          <w:rtl/>
          <w:lang w:val="en-US" w:bidi="ar-DZ"/>
        </w:rPr>
        <w:t>:</w:t>
      </w:r>
    </w:p>
    <w:p w14:paraId="3575086F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تحسين دورة التحويل النقدي</w:t>
      </w:r>
    </w:p>
    <w:p w14:paraId="65D14986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إدارة سلاسل التوريد المالية</w:t>
      </w:r>
    </w:p>
    <w:p w14:paraId="28FE8EDF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  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استراتيجيات تمويل رأس المال العامل</w:t>
      </w:r>
    </w:p>
    <w:p w14:paraId="48BBB7C9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64866B64">
      <w:pPr>
        <w:numPr>
          <w:ilvl w:val="0"/>
          <w:numId w:val="4"/>
        </w:numPr>
        <w:tabs>
          <w:tab w:val="clear" w:pos="420"/>
        </w:tabs>
        <w:bidi/>
        <w:spacing w:line="273" w:lineRule="auto"/>
        <w:ind w:left="420" w:leftChars="0" w:hanging="420" w:firstLineChars="0"/>
        <w:jc w:val="left"/>
        <w:rPr>
          <w:rFonts w:ascii="Arial" w:hAnsi="Arial" w:eastAsia="Arial"/>
          <w:color w:val="0070C0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color w:val="0070C0"/>
          <w:sz w:val="26"/>
          <w:szCs w:val="26"/>
          <w:shd w:val="clear" w:color="auto" w:fill="FFFFFF"/>
          <w:rtl/>
          <w:lang w:bidi="ar-DZ"/>
        </w:rPr>
        <w:t>ا</w:t>
      </w:r>
      <w:r>
        <w:rPr>
          <w:rFonts w:ascii="Arial" w:hAnsi="Arial" w:eastAsia="Arial"/>
          <w:b/>
          <w:bCs/>
          <w:color w:val="0070C0"/>
          <w:sz w:val="26"/>
          <w:szCs w:val="26"/>
          <w:shd w:val="clear" w:color="auto" w:fill="FFFFFF"/>
          <w:rtl/>
          <w:lang w:bidi="ar-DZ"/>
        </w:rPr>
        <w:t>لتقنيات والأدوات المستخدمة:</w:t>
      </w:r>
    </w:p>
    <w:p w14:paraId="13D2BF36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16FE32F7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نماذج التقييم المالي المتقدمة</w:t>
      </w: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(DCF, APT, Real Options)</w:t>
      </w:r>
    </w:p>
    <w:p w14:paraId="30F5F7FC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تحليل مونتي كارلو للمخاطر المالية</w:t>
      </w:r>
    </w:p>
    <w:p w14:paraId="6737589C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مؤشرات الأداء المالي المتقدمة</w:t>
      </w: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 (EVA, RAROC)</w:t>
      </w:r>
    </w:p>
    <w:p w14:paraId="514F3F3F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البرمجيات المالية المتخصصة للتحليل والتنبؤ</w:t>
      </w:r>
    </w:p>
    <w:p w14:paraId="683A4746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تطبيقات الذكاء الاصطناعي في التحليل المالي</w:t>
      </w:r>
    </w:p>
    <w:p w14:paraId="1ECD3E25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</w:pPr>
    </w:p>
    <w:p w14:paraId="78B85A60">
      <w:pPr>
        <w:numPr>
          <w:ilvl w:val="0"/>
          <w:numId w:val="4"/>
        </w:numPr>
        <w:bidi/>
        <w:spacing w:line="273" w:lineRule="auto"/>
        <w:ind w:left="420" w:leftChars="0" w:hanging="420" w:firstLineChars="0"/>
        <w:jc w:val="both"/>
        <w:rPr>
          <w:rFonts w:ascii="Arial" w:hAnsi="Arial" w:eastAsia="Arial"/>
          <w:b/>
          <w:bCs/>
          <w:color w:val="C00000"/>
          <w:sz w:val="26"/>
          <w:szCs w:val="26"/>
          <w:shd w:val="clear" w:color="auto" w:fill="FFFFFF"/>
          <w:rtl/>
          <w:lang w:bidi="ar-DZ"/>
        </w:rPr>
      </w:pPr>
      <w:r>
        <w:rPr>
          <w:rFonts w:hint="cs" w:ascii="Arial" w:hAnsi="Arial" w:eastAsia="Arial"/>
          <w:b/>
          <w:bCs/>
          <w:color w:val="0070C0"/>
          <w:sz w:val="26"/>
          <w:szCs w:val="26"/>
          <w:shd w:val="clear" w:color="auto" w:fill="FFFFFF"/>
          <w:rtl/>
          <w:lang w:bidi="ar-DZ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أ</w:t>
      </w:r>
      <w:r>
        <w:rPr>
          <w:rFonts w:ascii="Arial" w:hAnsi="Arial" w:eastAsia="Arial"/>
          <w:b/>
          <w:bCs/>
          <w:color w:val="0070C0"/>
          <w:sz w:val="26"/>
          <w:szCs w:val="26"/>
          <w:shd w:val="clear" w:color="auto" w:fill="FFFFFF"/>
          <w:rtl/>
          <w:lang w:bidi="ar-DZ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>همية التسيير المالي المعمق:</w:t>
      </w:r>
      <w:r>
        <w:rPr>
          <w:rFonts w:hint="cs" w:ascii="Arial" w:hAnsi="Arial" w:eastAsia="Arial"/>
          <w:b/>
          <w:bCs/>
          <w:color w:val="C00000"/>
          <w:sz w:val="26"/>
          <w:szCs w:val="26"/>
          <w:shd w:val="clear" w:color="auto" w:fill="FFFFFF"/>
          <w:rtl/>
          <w:lang w:bidi="ar-DZ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scaled="0"/>
            </w14:gradFill>
          </w14:textFill>
        </w:rPr>
        <w:t xml:space="preserve"> </w:t>
      </w:r>
      <w:r>
        <w:rPr>
          <w:rFonts w:hint="cs" w:ascii="Arial" w:hAnsi="Arial" w:eastAsia="Arial"/>
          <w:b/>
          <w:bCs/>
          <w:color w:val="C00000"/>
          <w:sz w:val="26"/>
          <w:szCs w:val="26"/>
          <w:shd w:val="clear" w:color="auto" w:fill="FFFFFF"/>
          <w:rtl/>
          <w:lang w:bidi="ar-DZ"/>
        </w:rPr>
        <w:t xml:space="preserve">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يساعد التسيير المالي المعمق المؤسسات على</w:t>
      </w: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>:</w:t>
      </w:r>
    </w:p>
    <w:p w14:paraId="5370014C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تعزيز القيمة للمساهمين</w:t>
      </w:r>
    </w:p>
    <w:p w14:paraId="0AEE9428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تحسين المرونة المالية</w:t>
      </w:r>
    </w:p>
    <w:p w14:paraId="7DB68A4F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مواجهة التحديات المالية المعقدة</w:t>
      </w:r>
    </w:p>
    <w:p w14:paraId="5EE4F959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دعم النمو المستدام</w:t>
      </w:r>
    </w:p>
    <w:p w14:paraId="113EC6E4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r>
        <w:rPr>
          <w:rFonts w:ascii="Arial" w:hAnsi="Arial" w:eastAsia="Arial"/>
          <w:sz w:val="26"/>
          <w:szCs w:val="26"/>
          <w:shd w:val="clear" w:color="auto" w:fill="FFFFFF"/>
          <w:lang w:bidi="ar-DZ"/>
        </w:rPr>
        <w:t xml:space="preserve">- </w:t>
      </w:r>
      <w:r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  <w:t>تحقيق ميزة تنافسية</w:t>
      </w:r>
    </w:p>
    <w:p w14:paraId="3060E076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17CDB9EE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454C7499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2C76E9BD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1B1F654D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63B25B19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42B77B1C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14D9B448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5674F9D9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3B423F28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2D78BDF6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35873B3D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19889E85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1834CFAA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11F16F37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32B59D2E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64DE621B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71A35051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2A74B138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2179DC36">
      <w:pPr>
        <w:bidi/>
        <w:spacing w:line="273" w:lineRule="auto"/>
        <w:jc w:val="left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</w:p>
    <w:p w14:paraId="3BA0E761">
      <w:pPr>
        <w:bidi/>
        <w:spacing w:line="273" w:lineRule="auto"/>
        <w:jc w:val="both"/>
        <w:rPr>
          <w:rFonts w:ascii="Arial" w:hAnsi="Arial" w:eastAsia="Arial"/>
          <w:sz w:val="26"/>
          <w:szCs w:val="26"/>
          <w:shd w:val="clear" w:color="auto" w:fill="FFFFFF"/>
          <w:rtl/>
          <w:lang w:bidi="ar-DZ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Madani TA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858D6">
    <w:pPr>
      <w:pStyle w:val="15"/>
      <w:pBdr>
        <w:bottom w:val="none" w:color="auto" w:sz="0" w:space="1"/>
      </w:pBdr>
      <w:jc w:val="left"/>
      <w:rPr>
        <w:b/>
        <w:bCs/>
        <w:sz w:val="24"/>
        <w:szCs w:val="24"/>
        <w:lang w:val="en-US" w:bidi="ar-DZ"/>
        <w14:textFill>
          <w14:gradFill>
            <w14:gsLst>
              <w14:gs w14:pos="0">
                <w14:srgbClr w14:val="E30000"/>
              </w14:gs>
              <w14:gs w14:pos="100000">
                <w14:srgbClr w14:val="760303"/>
              </w14:gs>
            </w14:gsLst>
            <w14:lin w14:ang="0" w14:scaled="0"/>
          </w14:gradFill>
        </w14:textFill>
      </w:rPr>
    </w:pPr>
    <w:r>
      <w:rPr>
        <w:rFonts w:hint="cs"/>
        <w:b/>
        <w:bCs/>
        <w:sz w:val="24"/>
        <w:szCs w:val="24"/>
        <w:rtl/>
        <w:lang w:bidi="ar-DZ"/>
        <w14:textFill>
          <w14:gradFill>
            <w14:gsLst>
              <w14:gs w14:pos="0">
                <w14:srgbClr w14:val="E30000"/>
              </w14:gs>
              <w14:gs w14:pos="100000">
                <w14:srgbClr w14:val="760303"/>
              </w14:gs>
            </w14:gsLst>
            <w14:lin w14:ang="0" w14:scaled="0"/>
          </w14:gradFill>
        </w14:textFill>
      </w:rPr>
      <w:t>الفصل</w:t>
    </w:r>
    <w:r>
      <w:rPr>
        <w:rFonts w:hint="cs"/>
        <w:b/>
        <w:bCs/>
        <w:sz w:val="24"/>
        <w:szCs w:val="24"/>
        <w:rtl/>
        <w:lang w:val="en-US" w:bidi="ar-DZ"/>
        <w14:textFill>
          <w14:gradFill>
            <w14:gsLst>
              <w14:gs w14:pos="0">
                <w14:srgbClr w14:val="E30000"/>
              </w14:gs>
              <w14:gs w14:pos="100000">
                <w14:srgbClr w14:val="760303"/>
              </w14:gs>
            </w14:gsLst>
            <w14:lin w14:ang="0" w14:scaled="0"/>
          </w14:gradFill>
        </w14:textFill>
      </w:rPr>
      <w:t xml:space="preserve"> الاول :</w:t>
    </w:r>
    <w:r>
      <w:rPr>
        <w:rFonts w:hint="cs"/>
        <w:b/>
        <w:bCs/>
        <w:sz w:val="24"/>
        <w:szCs w:val="24"/>
        <w:rtl/>
        <w:lang w:bidi="ar-DZ"/>
        <w14:textFill>
          <w14:gradFill>
            <w14:gsLst>
              <w14:gs w14:pos="0">
                <w14:srgbClr w14:val="E30000"/>
              </w14:gs>
              <w14:gs w14:pos="100000">
                <w14:srgbClr w14:val="760303"/>
              </w14:gs>
            </w14:gsLst>
            <w14:lin w14:ang="0" w14:scaled="0"/>
          </w14:gradFill>
        </w14:textFill>
      </w:rPr>
      <w:t>محاضرة</w:t>
    </w:r>
    <w:r>
      <w:rPr>
        <w:rFonts w:hint="cs"/>
        <w:b/>
        <w:bCs/>
        <w:sz w:val="24"/>
        <w:szCs w:val="24"/>
        <w:rtl/>
        <w:lang w:val="en-US" w:bidi="ar-DZ"/>
        <w14:textFill>
          <w14:gradFill>
            <w14:gsLst>
              <w14:gs w14:pos="0">
                <w14:srgbClr w14:val="E30000"/>
              </w14:gs>
              <w14:gs w14:pos="100000">
                <w14:srgbClr w14:val="760303"/>
              </w14:gs>
            </w14:gsLst>
            <w14:lin w14:ang="0" w14:scaled="0"/>
          </w14:gradFill>
        </w14:textFill>
      </w:rPr>
      <w:t xml:space="preserve"> رقم 1 :عموميات في مقياس التسيير المالي المعمق     اعداد : أ. د حوالف رحيمة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C71158"/>
    <w:multiLevelType w:val="singleLevel"/>
    <w:tmpl w:val="CCC71158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color w:val="0070C0"/>
      </w:rPr>
    </w:lvl>
  </w:abstractNum>
  <w:abstractNum w:abstractNumId="1">
    <w:nsid w:val="D3881708"/>
    <w:multiLevelType w:val="singleLevel"/>
    <w:tmpl w:val="D388170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D45D6292"/>
    <w:multiLevelType w:val="singleLevel"/>
    <w:tmpl w:val="D45D6292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D664ECD0"/>
    <w:multiLevelType w:val="singleLevel"/>
    <w:tmpl w:val="D664ECD0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documentProtection w:enforcement="0"/>
  <w:defaultTabStop w:val="708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D22D40"/>
    <w:rsid w:val="00056525"/>
    <w:rsid w:val="0006425C"/>
    <w:rsid w:val="00066D24"/>
    <w:rsid w:val="001261EC"/>
    <w:rsid w:val="00161F5F"/>
    <w:rsid w:val="00182A9E"/>
    <w:rsid w:val="001C5206"/>
    <w:rsid w:val="001E72B4"/>
    <w:rsid w:val="00210D1F"/>
    <w:rsid w:val="0026425E"/>
    <w:rsid w:val="0027633E"/>
    <w:rsid w:val="002A0771"/>
    <w:rsid w:val="002A7121"/>
    <w:rsid w:val="002B492A"/>
    <w:rsid w:val="002F1DC3"/>
    <w:rsid w:val="00306546"/>
    <w:rsid w:val="00342852"/>
    <w:rsid w:val="00371F3B"/>
    <w:rsid w:val="003904C7"/>
    <w:rsid w:val="003D357C"/>
    <w:rsid w:val="00460BC4"/>
    <w:rsid w:val="00467EC1"/>
    <w:rsid w:val="00486185"/>
    <w:rsid w:val="004F0F79"/>
    <w:rsid w:val="005108B6"/>
    <w:rsid w:val="005A1154"/>
    <w:rsid w:val="005C228D"/>
    <w:rsid w:val="005D73C2"/>
    <w:rsid w:val="005D7D68"/>
    <w:rsid w:val="005E73EF"/>
    <w:rsid w:val="0060669C"/>
    <w:rsid w:val="00654EEF"/>
    <w:rsid w:val="00656210"/>
    <w:rsid w:val="00677B9B"/>
    <w:rsid w:val="006A46E0"/>
    <w:rsid w:val="006A683A"/>
    <w:rsid w:val="006E5298"/>
    <w:rsid w:val="00700BDC"/>
    <w:rsid w:val="00710689"/>
    <w:rsid w:val="00715618"/>
    <w:rsid w:val="00723607"/>
    <w:rsid w:val="007560AB"/>
    <w:rsid w:val="00757A1F"/>
    <w:rsid w:val="007D64E7"/>
    <w:rsid w:val="007E00F8"/>
    <w:rsid w:val="007F0DBA"/>
    <w:rsid w:val="007F0F98"/>
    <w:rsid w:val="00812499"/>
    <w:rsid w:val="008178C4"/>
    <w:rsid w:val="0083409C"/>
    <w:rsid w:val="00840F58"/>
    <w:rsid w:val="008B1E00"/>
    <w:rsid w:val="008C3B31"/>
    <w:rsid w:val="008E274B"/>
    <w:rsid w:val="008F244E"/>
    <w:rsid w:val="008F36FF"/>
    <w:rsid w:val="00922544"/>
    <w:rsid w:val="009232C4"/>
    <w:rsid w:val="00930828"/>
    <w:rsid w:val="00950EE1"/>
    <w:rsid w:val="009605A3"/>
    <w:rsid w:val="00974642"/>
    <w:rsid w:val="009B44AC"/>
    <w:rsid w:val="009D04DC"/>
    <w:rsid w:val="00A06BC0"/>
    <w:rsid w:val="00A24572"/>
    <w:rsid w:val="00A278CB"/>
    <w:rsid w:val="00A51B26"/>
    <w:rsid w:val="00A61982"/>
    <w:rsid w:val="00A81F29"/>
    <w:rsid w:val="00AA2D10"/>
    <w:rsid w:val="00AA4DD7"/>
    <w:rsid w:val="00AA5790"/>
    <w:rsid w:val="00AB6275"/>
    <w:rsid w:val="00AC09AA"/>
    <w:rsid w:val="00AE6D98"/>
    <w:rsid w:val="00B065D8"/>
    <w:rsid w:val="00B34B36"/>
    <w:rsid w:val="00B62E94"/>
    <w:rsid w:val="00BB640B"/>
    <w:rsid w:val="00BF00C7"/>
    <w:rsid w:val="00BF2D0A"/>
    <w:rsid w:val="00BF3A35"/>
    <w:rsid w:val="00C026C7"/>
    <w:rsid w:val="00C06E4C"/>
    <w:rsid w:val="00C35A60"/>
    <w:rsid w:val="00CB3CC1"/>
    <w:rsid w:val="00CC707A"/>
    <w:rsid w:val="00CD485C"/>
    <w:rsid w:val="00D47946"/>
    <w:rsid w:val="00D61085"/>
    <w:rsid w:val="00D95D5E"/>
    <w:rsid w:val="00DE6F66"/>
    <w:rsid w:val="00E01F50"/>
    <w:rsid w:val="00E15A9B"/>
    <w:rsid w:val="00E30C2E"/>
    <w:rsid w:val="00E31D2C"/>
    <w:rsid w:val="00E5759F"/>
    <w:rsid w:val="00E75756"/>
    <w:rsid w:val="00E97011"/>
    <w:rsid w:val="00EB5259"/>
    <w:rsid w:val="00ED4EC4"/>
    <w:rsid w:val="00ED73DE"/>
    <w:rsid w:val="00F25260"/>
    <w:rsid w:val="00F32031"/>
    <w:rsid w:val="00F4769F"/>
    <w:rsid w:val="00F725EA"/>
    <w:rsid w:val="00F84CA1"/>
    <w:rsid w:val="00F855BC"/>
    <w:rsid w:val="00FA1FCE"/>
    <w:rsid w:val="00FC6AA3"/>
    <w:rsid w:val="00FC7BD5"/>
    <w:rsid w:val="00FE3A41"/>
    <w:rsid w:val="15A126B8"/>
    <w:rsid w:val="16D34DB2"/>
    <w:rsid w:val="17EA113B"/>
    <w:rsid w:val="18AB3A9C"/>
    <w:rsid w:val="19ED0A26"/>
    <w:rsid w:val="1F0524A1"/>
    <w:rsid w:val="2307312B"/>
    <w:rsid w:val="24FD5381"/>
    <w:rsid w:val="2ABB7E8A"/>
    <w:rsid w:val="2D4162B8"/>
    <w:rsid w:val="3D095F7D"/>
    <w:rsid w:val="45114C46"/>
    <w:rsid w:val="4A23146D"/>
    <w:rsid w:val="4C0B772C"/>
    <w:rsid w:val="56105298"/>
    <w:rsid w:val="577A54B2"/>
    <w:rsid w:val="594D58D5"/>
    <w:rsid w:val="59921A5A"/>
    <w:rsid w:val="678E57D5"/>
    <w:rsid w:val="76D22D40"/>
    <w:rsid w:val="7C2A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Balloon Text"/>
    <w:lsdException w:unhideWhenUsed="0" w:uiPriority="99" w:semiHidden="0" w:name="Table Grid"/>
    <w:lsdException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fr-FR" w:eastAsia="zh-CN" w:bidi="ar-SA"/>
    </w:rPr>
  </w:style>
  <w:style w:type="paragraph" w:styleId="2">
    <w:name w:val="heading 1"/>
    <w:next w:val="1"/>
    <w:qFormat/>
    <w:uiPriority w:val="0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sz w:val="36"/>
      <w:szCs w:val="36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annotation reference"/>
    <w:basedOn w:val="6"/>
    <w:qFormat/>
    <w:uiPriority w:val="0"/>
    <w:rPr>
      <w:sz w:val="16"/>
      <w:szCs w:val="16"/>
    </w:rPr>
  </w:style>
  <w:style w:type="character" w:styleId="10">
    <w:name w:val="Emphasis"/>
    <w:qFormat/>
    <w:uiPriority w:val="0"/>
    <w:rPr>
      <w:i/>
      <w:iCs/>
    </w:rPr>
  </w:style>
  <w:style w:type="paragraph" w:styleId="11">
    <w:name w:val="annotation subject"/>
    <w:basedOn w:val="12"/>
    <w:next w:val="12"/>
    <w:link w:val="35"/>
    <w:qFormat/>
    <w:uiPriority w:val="0"/>
    <w:rPr>
      <w:b/>
      <w:bCs/>
    </w:rPr>
  </w:style>
  <w:style w:type="paragraph" w:styleId="12">
    <w:name w:val="annotation text"/>
    <w:basedOn w:val="1"/>
    <w:link w:val="34"/>
    <w:qFormat/>
    <w:uiPriority w:val="0"/>
    <w:rPr>
      <w:sz w:val="20"/>
      <w:szCs w:val="20"/>
    </w:rPr>
  </w:style>
  <w:style w:type="paragraph" w:styleId="13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3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List Paragraph"/>
    <w:basedOn w:val="1"/>
    <w:uiPriority w:val="99"/>
    <w:pPr>
      <w:ind w:left="720"/>
      <w:contextualSpacing/>
    </w:pPr>
  </w:style>
  <w:style w:type="table" w:styleId="18">
    <w:name w:val="Table Grid"/>
    <w:basedOn w:val="16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au Grille 3 - Accentuation 61"/>
    <w:basedOn w:val="16"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20">
    <w:name w:val="Tableau Grille 5 Foncé - Accentuation 61"/>
    <w:basedOn w:val="16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21">
    <w:name w:val="Tableau Grille 6 Couleur - Accentuation 61"/>
    <w:basedOn w:val="16"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22">
    <w:name w:val="Tableau Grille 4 - Accentuation 61"/>
    <w:basedOn w:val="16"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23">
    <w:name w:val="Tableau Grille 4 - Accentuation 51"/>
    <w:basedOn w:val="16"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24">
    <w:name w:val="Tableau Liste 1 Clair - Accentuation 61"/>
    <w:basedOn w:val="16"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25">
    <w:name w:val="Tableau Liste 4 - Accentuation 61"/>
    <w:basedOn w:val="16"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26">
    <w:name w:val="Tableau Grille 2 - Accentuation 61"/>
    <w:basedOn w:val="16"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27">
    <w:name w:val="Tableau Grille 1 Clair - Accentuation 61"/>
    <w:basedOn w:val="16"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">
    <w:name w:val="Tableau simple 41"/>
    <w:basedOn w:val="16"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9">
    <w:name w:val="Grille de tableau claire1"/>
    <w:basedOn w:val="16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0">
    <w:name w:val="Tableau Grille 4 - Accentuation 41"/>
    <w:basedOn w:val="16"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character" w:customStyle="1" w:styleId="31">
    <w:name w:val="En-tête Car"/>
    <w:basedOn w:val="6"/>
    <w:link w:val="15"/>
    <w:uiPriority w:val="99"/>
    <w:rPr>
      <w:sz w:val="18"/>
      <w:szCs w:val="18"/>
      <w:lang w:eastAsia="zh-CN"/>
    </w:rPr>
  </w:style>
  <w:style w:type="table" w:customStyle="1" w:styleId="32">
    <w:name w:val="Grid Table 4 Accent 6"/>
    <w:basedOn w:val="16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3">
    <w:name w:val="Grid Table 5 Dark Accent 5"/>
    <w:basedOn w:val="16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character" w:customStyle="1" w:styleId="34">
    <w:name w:val="Commentaire Car"/>
    <w:basedOn w:val="6"/>
    <w:link w:val="12"/>
    <w:qFormat/>
    <w:uiPriority w:val="0"/>
    <w:rPr>
      <w:lang w:eastAsia="zh-CN"/>
    </w:rPr>
  </w:style>
  <w:style w:type="character" w:customStyle="1" w:styleId="35">
    <w:name w:val="Objet du commentaire Car"/>
    <w:basedOn w:val="34"/>
    <w:link w:val="11"/>
    <w:qFormat/>
    <w:uiPriority w:val="0"/>
    <w:rPr>
      <w:b/>
      <w:bCs/>
      <w:lang w:eastAsia="zh-CN"/>
    </w:rPr>
  </w:style>
  <w:style w:type="table" w:customStyle="1" w:styleId="36">
    <w:name w:val="List Table 2 Accent 6"/>
    <w:basedOn w:val="16"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">
    <w:name w:val="Grid Table 2 Accent 1"/>
    <w:basedOn w:val="16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8">
    <w:name w:val="Grid Table 4 Accent 1"/>
    <w:basedOn w:val="16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39">
    <w:name w:val="d9fyld"/>
    <w:basedOn w:val="6"/>
    <w:qFormat/>
    <w:uiPriority w:val="0"/>
  </w:style>
  <w:style w:type="character" w:customStyle="1" w:styleId="40">
    <w:name w:val="hgkelc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8243-4DBD-4545-A325-5E3F2AF22D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1749</Words>
  <Characters>9160</Characters>
  <Lines>347</Lines>
  <Paragraphs>192</Paragraphs>
  <TotalTime>35</TotalTime>
  <ScaleCrop>false</ScaleCrop>
  <LinksUpToDate>false</LinksUpToDate>
  <CharactersWithSpaces>10821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2025-02-16T21:59:00Z</dcterms:created>
  <dc:creator>KIMEDIAS</dc:creator>
  <cp:lastModifiedBy>KIMEDIAS</cp:lastModifiedBy>
  <cp:lastPrinted>2025-02-16T20:27:00Z</cp:lastPrinted>
  <dcterms:modified xsi:type="dcterms:W3CDTF">2025-02-18T07:39:14Z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AFC92439C2C94AACAB1BA94D1182B899_13</vt:lpwstr>
  </property>
  <property fmtid="{D5CDD505-2E9C-101B-9397-08002B2CF9AE}" pid="4" name="GrammarlyDocumentId">
    <vt:lpwstr>be9d31adb540b1064d74e9ee8cc3f19e29343bc2587459c049bbc841ff368cb5</vt:lpwstr>
  </property>
</Properties>
</file>