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FE0" w:rsidRPr="001B4FE0" w:rsidRDefault="001B4FE0" w:rsidP="0025724B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2696210</wp:posOffset>
            </wp:positionH>
            <wp:positionV relativeFrom="margin">
              <wp:posOffset>175895</wp:posOffset>
            </wp:positionV>
            <wp:extent cx="529590" cy="461010"/>
            <wp:effectExtent l="19050" t="0" r="0" b="0"/>
            <wp:wrapSquare wrapText="bothSides"/>
            <wp:docPr id="4" name="Image 4" descr="logo univers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versit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4FE0">
        <w:rPr>
          <w:rFonts w:ascii="Times New Roman" w:hAnsi="Times New Roman" w:cs="Times New Roman"/>
          <w:b/>
          <w:bCs/>
          <w:sz w:val="20"/>
          <w:szCs w:val="20"/>
        </w:rPr>
        <w:t>Ministère de l’enseignement supérieur et de la recherche scientifique</w:t>
      </w:r>
      <w:r w:rsidRPr="001B4FE0">
        <w:rPr>
          <w:rFonts w:ascii="Times New Roman" w:hAnsi="Times New Roman" w:cs="Times New Roman"/>
          <w:b/>
          <w:bCs/>
          <w:sz w:val="20"/>
          <w:szCs w:val="20"/>
        </w:rPr>
        <w:br/>
        <w:t>Faculté de médecine de TLEMCEN</w:t>
      </w:r>
      <w:r w:rsidRPr="001B4FE0">
        <w:rPr>
          <w:rFonts w:ascii="Times New Roman" w:hAnsi="Times New Roman" w:cs="Times New Roman"/>
          <w:b/>
          <w:bCs/>
          <w:sz w:val="20"/>
          <w:szCs w:val="20"/>
        </w:rPr>
        <w:br/>
        <w:t>Département de Pharmacie</w:t>
      </w:r>
    </w:p>
    <w:p w:rsidR="0025724B" w:rsidRDefault="0025724B" w:rsidP="001B4FE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</w:rPr>
      </w:pPr>
    </w:p>
    <w:p w:rsidR="00FC0F15" w:rsidRPr="00FC0F15" w:rsidRDefault="00FC0F15" w:rsidP="00FC0F15">
      <w:pPr>
        <w:pStyle w:val="NormalWeb"/>
        <w:jc w:val="center"/>
        <w:rPr>
          <w:sz w:val="28"/>
          <w:szCs w:val="28"/>
          <w:lang w:val="fr-FR"/>
        </w:rPr>
      </w:pPr>
      <w:r w:rsidRPr="00FC0F15">
        <w:rPr>
          <w:rStyle w:val="Strong"/>
          <w:sz w:val="28"/>
          <w:szCs w:val="28"/>
          <w:lang w:val="fr-FR"/>
        </w:rPr>
        <w:t>CLASSIFICATION DES PSYCHOTROPES</w:t>
      </w:r>
    </w:p>
    <w:p w:rsidR="00FC0F15" w:rsidRDefault="00FC0F15" w:rsidP="00FC0F15">
      <w:pPr>
        <w:pStyle w:val="Heading3"/>
      </w:pPr>
      <w:r>
        <w:t>Objectifs pédagogiques du cours "Classification des psychotropes"</w:t>
      </w:r>
    </w:p>
    <w:p w:rsidR="00FC0F15" w:rsidRPr="00FC0F15" w:rsidRDefault="00FC0F15" w:rsidP="00FC0F15">
      <w:bookmarkStart w:id="0" w:name="_GoBack"/>
      <w:bookmarkEnd w:id="0"/>
    </w:p>
    <w:p w:rsidR="00FC0F15" w:rsidRPr="00FC0F15" w:rsidRDefault="00FC0F15" w:rsidP="00FC0F15">
      <w:pPr>
        <w:pStyle w:val="NormalWeb"/>
        <w:numPr>
          <w:ilvl w:val="0"/>
          <w:numId w:val="47"/>
        </w:numPr>
        <w:spacing w:line="360" w:lineRule="auto"/>
        <w:rPr>
          <w:lang w:val="fr-FR"/>
        </w:rPr>
      </w:pPr>
      <w:r w:rsidRPr="00FC0F15">
        <w:rPr>
          <w:rStyle w:val="Strong"/>
          <w:lang w:val="fr-FR"/>
        </w:rPr>
        <w:t>Comprendre la définition et l'importance des psychotropes</w:t>
      </w:r>
      <w:r w:rsidRPr="00FC0F15">
        <w:rPr>
          <w:lang w:val="fr-FR"/>
        </w:rPr>
        <w:t xml:space="preserve"> :</w:t>
      </w:r>
    </w:p>
    <w:p w:rsidR="00FC0F15" w:rsidRDefault="00FC0F15" w:rsidP="00FC0F15">
      <w:pPr>
        <w:numPr>
          <w:ilvl w:val="1"/>
          <w:numId w:val="47"/>
        </w:numPr>
        <w:spacing w:before="100" w:beforeAutospacing="1" w:after="100" w:afterAutospacing="1" w:line="360" w:lineRule="auto"/>
      </w:pPr>
      <w:r>
        <w:t>Expliquer ce que sont les psychotropes et leur impact sur le système nerveux central.</w:t>
      </w:r>
    </w:p>
    <w:p w:rsidR="00FC0F15" w:rsidRDefault="00FC0F15" w:rsidP="00FC0F15">
      <w:pPr>
        <w:numPr>
          <w:ilvl w:val="1"/>
          <w:numId w:val="47"/>
        </w:numPr>
        <w:spacing w:before="100" w:beforeAutospacing="1" w:after="100" w:afterAutospacing="1" w:line="360" w:lineRule="auto"/>
      </w:pPr>
      <w:r>
        <w:t>Identifier les principales catégories de psychotropes et leur rôle thérapeutique dans le traitement des troubles mentaux.</w:t>
      </w:r>
    </w:p>
    <w:p w:rsidR="00FC0F15" w:rsidRPr="00FC0F15" w:rsidRDefault="00FC0F15" w:rsidP="00FC0F15">
      <w:pPr>
        <w:pStyle w:val="NormalWeb"/>
        <w:numPr>
          <w:ilvl w:val="0"/>
          <w:numId w:val="47"/>
        </w:numPr>
        <w:spacing w:line="360" w:lineRule="auto"/>
        <w:rPr>
          <w:lang w:val="fr-FR"/>
        </w:rPr>
      </w:pPr>
      <w:r w:rsidRPr="00FC0F15">
        <w:rPr>
          <w:rStyle w:val="Strong"/>
          <w:lang w:val="fr-FR"/>
        </w:rPr>
        <w:t>Étudier les sous-catégories de psychotropes dans la classification Delay-</w:t>
      </w:r>
      <w:proofErr w:type="spellStart"/>
      <w:r w:rsidRPr="00FC0F15">
        <w:rPr>
          <w:rStyle w:val="Strong"/>
          <w:lang w:val="fr-FR"/>
        </w:rPr>
        <w:t>Denicker</w:t>
      </w:r>
      <w:proofErr w:type="spellEnd"/>
      <w:r w:rsidRPr="00FC0F15">
        <w:rPr>
          <w:lang w:val="fr-FR"/>
        </w:rPr>
        <w:t xml:space="preserve"> :</w:t>
      </w:r>
    </w:p>
    <w:p w:rsidR="00FC0F15" w:rsidRDefault="00FC0F15" w:rsidP="00FC0F15">
      <w:pPr>
        <w:numPr>
          <w:ilvl w:val="1"/>
          <w:numId w:val="47"/>
        </w:numPr>
        <w:spacing w:before="100" w:beforeAutospacing="1" w:after="100" w:afterAutospacing="1" w:line="360" w:lineRule="auto"/>
      </w:pPr>
      <w:r>
        <w:t xml:space="preserve">Identifier les différentes catégories dans cette classification : </w:t>
      </w:r>
      <w:proofErr w:type="spellStart"/>
      <w:r>
        <w:rPr>
          <w:rStyle w:val="Strong"/>
        </w:rPr>
        <w:t>nooanaleptiques</w:t>
      </w:r>
      <w:proofErr w:type="spellEnd"/>
      <w:r>
        <w:t xml:space="preserve">, </w:t>
      </w:r>
      <w:r>
        <w:rPr>
          <w:rStyle w:val="Strong"/>
        </w:rPr>
        <w:t>thymoleptiques</w:t>
      </w:r>
      <w:r>
        <w:t xml:space="preserve">, </w:t>
      </w:r>
      <w:r>
        <w:rPr>
          <w:rStyle w:val="Strong"/>
        </w:rPr>
        <w:t>thymoanaleptiques</w:t>
      </w:r>
      <w:r>
        <w:t xml:space="preserve"> et </w:t>
      </w:r>
      <w:r>
        <w:rPr>
          <w:rStyle w:val="Strong"/>
        </w:rPr>
        <w:t>psychodysleptiques</w:t>
      </w:r>
      <w:r>
        <w:t>.</w:t>
      </w:r>
    </w:p>
    <w:p w:rsidR="00FC0F15" w:rsidRDefault="00FC0F15" w:rsidP="00FC0F15">
      <w:pPr>
        <w:numPr>
          <w:ilvl w:val="1"/>
          <w:numId w:val="47"/>
        </w:numPr>
        <w:spacing w:before="100" w:beforeAutospacing="1" w:after="100" w:afterAutospacing="1" w:line="360" w:lineRule="auto"/>
      </w:pPr>
      <w:r>
        <w:t>Comprendre les effets spécifiques de chaque catégorie sur l’état psychologique et physique des patients.</w:t>
      </w:r>
    </w:p>
    <w:p w:rsidR="00FC0F15" w:rsidRPr="00FC0F15" w:rsidRDefault="00FC0F15" w:rsidP="00FC0F15">
      <w:pPr>
        <w:pStyle w:val="NormalWeb"/>
        <w:numPr>
          <w:ilvl w:val="0"/>
          <w:numId w:val="47"/>
        </w:numPr>
        <w:spacing w:line="360" w:lineRule="auto"/>
        <w:rPr>
          <w:lang w:val="fr-FR"/>
        </w:rPr>
      </w:pPr>
      <w:r w:rsidRPr="00FC0F15">
        <w:rPr>
          <w:rStyle w:val="Strong"/>
          <w:lang w:val="fr-FR"/>
        </w:rPr>
        <w:t>Maîtriser les différences entre les psychotropes</w:t>
      </w:r>
      <w:r w:rsidRPr="00FC0F15">
        <w:rPr>
          <w:lang w:val="fr-FR"/>
        </w:rPr>
        <w:t xml:space="preserve"> :</w:t>
      </w:r>
    </w:p>
    <w:p w:rsidR="00FC0F15" w:rsidRDefault="00FC0F15" w:rsidP="00FC0F15">
      <w:pPr>
        <w:numPr>
          <w:ilvl w:val="1"/>
          <w:numId w:val="47"/>
        </w:numPr>
        <w:spacing w:before="100" w:beforeAutospacing="1" w:after="100" w:afterAutospacing="1" w:line="360" w:lineRule="auto"/>
      </w:pPr>
      <w:r>
        <w:t xml:space="preserve">Comparer les </w:t>
      </w:r>
      <w:proofErr w:type="spellStart"/>
      <w:r>
        <w:rPr>
          <w:rStyle w:val="Strong"/>
        </w:rPr>
        <w:t>nooanaleptiques</w:t>
      </w:r>
      <w:proofErr w:type="spellEnd"/>
      <w:r>
        <w:t xml:space="preserve"> (stimulants cognitifs), les </w:t>
      </w:r>
      <w:r>
        <w:rPr>
          <w:rStyle w:val="Strong"/>
        </w:rPr>
        <w:t>thymoleptiques</w:t>
      </w:r>
      <w:r>
        <w:t xml:space="preserve"> (antidépresseurs), les </w:t>
      </w:r>
      <w:r>
        <w:rPr>
          <w:rStyle w:val="Strong"/>
        </w:rPr>
        <w:t>thymoanaleptiques</w:t>
      </w:r>
      <w:r>
        <w:t xml:space="preserve"> (médicaments régulateurs de l’humeur) et les </w:t>
      </w:r>
      <w:r>
        <w:rPr>
          <w:rStyle w:val="Strong"/>
        </w:rPr>
        <w:t>psychodysleptiques</w:t>
      </w:r>
      <w:r>
        <w:t xml:space="preserve"> (modificateurs de la perception).</w:t>
      </w:r>
    </w:p>
    <w:p w:rsidR="00FC0F15" w:rsidRDefault="00FC0F15" w:rsidP="00FC0F15">
      <w:pPr>
        <w:numPr>
          <w:ilvl w:val="1"/>
          <w:numId w:val="47"/>
        </w:numPr>
        <w:spacing w:before="100" w:beforeAutospacing="1" w:after="100" w:afterAutospacing="1" w:line="360" w:lineRule="auto"/>
      </w:pPr>
      <w:r>
        <w:t>Identifier les indications thérapeutiques, les effets secondaires et les risques associés à chaque groupe.</w:t>
      </w:r>
    </w:p>
    <w:sectPr w:rsidR="00FC0F15" w:rsidSect="00384EF7">
      <w:footerReference w:type="default" r:id="rId8"/>
      <w:pgSz w:w="11906" w:h="16838"/>
      <w:pgMar w:top="612" w:right="1133" w:bottom="426" w:left="993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448" w:rsidRDefault="00535448" w:rsidP="00601253">
      <w:pPr>
        <w:spacing w:after="0" w:line="240" w:lineRule="auto"/>
      </w:pPr>
      <w:r>
        <w:separator/>
      </w:r>
    </w:p>
  </w:endnote>
  <w:endnote w:type="continuationSeparator" w:id="0">
    <w:p w:rsidR="00535448" w:rsidRDefault="00535448" w:rsidP="0060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8D1" w:rsidRDefault="00BD68D1" w:rsidP="00274EE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3</w:t>
    </w:r>
    <w:r w:rsidRPr="00756AAA">
      <w:rPr>
        <w:rFonts w:asciiTheme="majorHAnsi" w:hAnsiTheme="majorHAnsi"/>
        <w:vertAlign w:val="superscript"/>
      </w:rPr>
      <w:t>éme</w:t>
    </w:r>
    <w:r>
      <w:rPr>
        <w:rFonts w:asciiTheme="majorHAnsi" w:hAnsiTheme="majorHAnsi"/>
      </w:rPr>
      <w:t xml:space="preserve"> année Pharmacie                                                      20</w:t>
    </w:r>
    <w:r w:rsidR="00F52A74">
      <w:rPr>
        <w:rFonts w:asciiTheme="majorHAnsi" w:hAnsiTheme="majorHAnsi"/>
      </w:rPr>
      <w:t>2</w:t>
    </w:r>
    <w:r w:rsidR="00274EE7">
      <w:rPr>
        <w:rFonts w:asciiTheme="majorHAnsi" w:hAnsiTheme="majorHAnsi"/>
      </w:rPr>
      <w:t>4</w:t>
    </w:r>
    <w:r>
      <w:rPr>
        <w:rFonts w:asciiTheme="majorHAnsi" w:hAnsiTheme="majorHAnsi"/>
      </w:rPr>
      <w:t>/20</w:t>
    </w:r>
    <w:r w:rsidR="00F52A74">
      <w:rPr>
        <w:rFonts w:asciiTheme="majorHAnsi" w:hAnsiTheme="majorHAnsi"/>
      </w:rPr>
      <w:t>2</w:t>
    </w:r>
    <w:r w:rsidR="00274EE7">
      <w:rPr>
        <w:rFonts w:asciiTheme="majorHAnsi" w:hAnsiTheme="majorHAnsi"/>
      </w:rPr>
      <w:t>5</w:t>
    </w:r>
    <w:r>
      <w:rPr>
        <w:rFonts w:asciiTheme="majorHAnsi" w:hAnsiTheme="majorHAnsi"/>
      </w:rPr>
      <w:t xml:space="preserve">                              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0137E">
      <w:fldChar w:fldCharType="begin"/>
    </w:r>
    <w:r w:rsidR="0040137E">
      <w:instrText xml:space="preserve"> PAGE   \* MERGEFORMAT </w:instrText>
    </w:r>
    <w:r w:rsidR="0040137E">
      <w:fldChar w:fldCharType="separate"/>
    </w:r>
    <w:r w:rsidR="00FC0F15" w:rsidRPr="00FC0F15">
      <w:rPr>
        <w:rFonts w:asciiTheme="majorHAnsi" w:hAnsiTheme="majorHAnsi"/>
        <w:noProof/>
      </w:rPr>
      <w:t>1</w:t>
    </w:r>
    <w:r w:rsidR="0040137E">
      <w:rPr>
        <w:rFonts w:asciiTheme="majorHAnsi" w:hAnsiTheme="majorHAnsi"/>
        <w:noProof/>
      </w:rPr>
      <w:fldChar w:fldCharType="end"/>
    </w:r>
  </w:p>
  <w:p w:rsidR="00BD68D1" w:rsidRDefault="00BD6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448" w:rsidRDefault="00535448" w:rsidP="00601253">
      <w:pPr>
        <w:spacing w:after="0" w:line="240" w:lineRule="auto"/>
      </w:pPr>
      <w:r>
        <w:separator/>
      </w:r>
    </w:p>
  </w:footnote>
  <w:footnote w:type="continuationSeparator" w:id="0">
    <w:p w:rsidR="00535448" w:rsidRDefault="00535448" w:rsidP="00601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05pt;height:11.05pt" o:bullet="t">
        <v:imagedata r:id="rId1" o:title="mso5AE8"/>
      </v:shape>
    </w:pict>
  </w:numPicBullet>
  <w:numPicBullet w:numPicBulletId="1">
    <w:pict>
      <v:shape id="_x0000_i1033" type="#_x0000_t75" style="width:11.05pt;height:11.05pt" o:bullet="t">
        <v:imagedata r:id="rId2" o:title="BD14752_"/>
      </v:shape>
    </w:pict>
  </w:numPicBullet>
  <w:numPicBullet w:numPicBulletId="2">
    <w:pict>
      <v:shape id="_x0000_i1034" type="#_x0000_t75" style="width:11.05pt;height:11.05pt" o:bullet="t">
        <v:imagedata r:id="rId3" o:title="BD14578_"/>
      </v:shape>
    </w:pict>
  </w:numPicBullet>
  <w:abstractNum w:abstractNumId="0">
    <w:nsid w:val="01747C0D"/>
    <w:multiLevelType w:val="hybridMultilevel"/>
    <w:tmpl w:val="7500F6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52317"/>
    <w:multiLevelType w:val="hybridMultilevel"/>
    <w:tmpl w:val="8592A37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255AFC"/>
    <w:multiLevelType w:val="hybridMultilevel"/>
    <w:tmpl w:val="8FFA10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96968"/>
    <w:multiLevelType w:val="hybridMultilevel"/>
    <w:tmpl w:val="081C8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86B6E"/>
    <w:multiLevelType w:val="hybridMultilevel"/>
    <w:tmpl w:val="DC08A3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35327"/>
    <w:multiLevelType w:val="multilevel"/>
    <w:tmpl w:val="9D6E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4024B2"/>
    <w:multiLevelType w:val="hybridMultilevel"/>
    <w:tmpl w:val="E57ECE9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80E42"/>
    <w:multiLevelType w:val="hybridMultilevel"/>
    <w:tmpl w:val="1DF6A5BC"/>
    <w:lvl w:ilvl="0" w:tplc="69348B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26CC236C"/>
    <w:multiLevelType w:val="hybridMultilevel"/>
    <w:tmpl w:val="8592A37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758175C"/>
    <w:multiLevelType w:val="multilevel"/>
    <w:tmpl w:val="A61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A248D"/>
    <w:multiLevelType w:val="hybridMultilevel"/>
    <w:tmpl w:val="24842A1A"/>
    <w:lvl w:ilvl="0" w:tplc="8EFCDD4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5D5555"/>
    <w:multiLevelType w:val="multilevel"/>
    <w:tmpl w:val="CD50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DF4D79"/>
    <w:multiLevelType w:val="multilevel"/>
    <w:tmpl w:val="A3E8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F230EE"/>
    <w:multiLevelType w:val="hybridMultilevel"/>
    <w:tmpl w:val="569E5BB2"/>
    <w:lvl w:ilvl="0" w:tplc="E64CB2A8">
      <w:start w:val="1"/>
      <w:numFmt w:val="bullet"/>
      <w:lvlText w:val="-"/>
      <w:lvlJc w:val="left"/>
      <w:pPr>
        <w:ind w:left="862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D87528E"/>
    <w:multiLevelType w:val="hybridMultilevel"/>
    <w:tmpl w:val="C3B467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70A2A"/>
    <w:multiLevelType w:val="hybridMultilevel"/>
    <w:tmpl w:val="43206FFE"/>
    <w:lvl w:ilvl="0" w:tplc="BBBE03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F67EC6"/>
    <w:multiLevelType w:val="multilevel"/>
    <w:tmpl w:val="905E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5B3E19"/>
    <w:multiLevelType w:val="hybridMultilevel"/>
    <w:tmpl w:val="F21E04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9669CD"/>
    <w:multiLevelType w:val="hybridMultilevel"/>
    <w:tmpl w:val="54E8D872"/>
    <w:lvl w:ilvl="0" w:tplc="6E8431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bCs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4228A"/>
    <w:multiLevelType w:val="hybridMultilevel"/>
    <w:tmpl w:val="93386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D449A"/>
    <w:multiLevelType w:val="hybridMultilevel"/>
    <w:tmpl w:val="2738FB7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432D47"/>
    <w:multiLevelType w:val="multilevel"/>
    <w:tmpl w:val="6AB061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14079C"/>
    <w:multiLevelType w:val="hybridMultilevel"/>
    <w:tmpl w:val="DCFC48D0"/>
    <w:lvl w:ilvl="0" w:tplc="C2DC2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25C23"/>
    <w:multiLevelType w:val="hybridMultilevel"/>
    <w:tmpl w:val="2C6C74E8"/>
    <w:lvl w:ilvl="0" w:tplc="8264D11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782623"/>
    <w:multiLevelType w:val="hybridMultilevel"/>
    <w:tmpl w:val="3F4A8C1A"/>
    <w:lvl w:ilvl="0" w:tplc="4A2A92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EB0693"/>
    <w:multiLevelType w:val="hybridMultilevel"/>
    <w:tmpl w:val="EC78625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076E9"/>
    <w:multiLevelType w:val="hybridMultilevel"/>
    <w:tmpl w:val="B3FA3482"/>
    <w:lvl w:ilvl="0" w:tplc="D4322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A54341"/>
    <w:multiLevelType w:val="hybridMultilevel"/>
    <w:tmpl w:val="8FA896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A2A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90F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604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065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5E9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BED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588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900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7BD5D9D"/>
    <w:multiLevelType w:val="hybridMultilevel"/>
    <w:tmpl w:val="2A8A7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D3114C"/>
    <w:multiLevelType w:val="hybridMultilevel"/>
    <w:tmpl w:val="C068FFB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103B38"/>
    <w:multiLevelType w:val="multilevel"/>
    <w:tmpl w:val="1F4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3C4C9C"/>
    <w:multiLevelType w:val="hybridMultilevel"/>
    <w:tmpl w:val="9A88E4B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36AC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2B890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47E7D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474D8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D52C2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16EE3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A26A9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C3E0B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2">
    <w:nsid w:val="49754D18"/>
    <w:multiLevelType w:val="hybridMultilevel"/>
    <w:tmpl w:val="C06EBB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9818B1"/>
    <w:multiLevelType w:val="hybridMultilevel"/>
    <w:tmpl w:val="F3AA4BEA"/>
    <w:lvl w:ilvl="0" w:tplc="2E90C61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55A9C"/>
    <w:multiLevelType w:val="hybridMultilevel"/>
    <w:tmpl w:val="9AF08BA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36AC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2B890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47E7D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474D8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D52C2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16EE3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A26A9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C3E0B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5">
    <w:nsid w:val="4CA04AFA"/>
    <w:multiLevelType w:val="hybridMultilevel"/>
    <w:tmpl w:val="4A5400C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9274F3"/>
    <w:multiLevelType w:val="hybridMultilevel"/>
    <w:tmpl w:val="E0F6CA1A"/>
    <w:lvl w:ilvl="0" w:tplc="2730C358">
      <w:start w:val="1"/>
      <w:numFmt w:val="bullet"/>
      <w:lvlText w:val="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>
    <w:nsid w:val="4FF40617"/>
    <w:multiLevelType w:val="hybridMultilevel"/>
    <w:tmpl w:val="56AA4E8A"/>
    <w:lvl w:ilvl="0" w:tplc="48241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8D0175"/>
    <w:multiLevelType w:val="hybridMultilevel"/>
    <w:tmpl w:val="BEA68296"/>
    <w:lvl w:ilvl="0" w:tplc="BBBE03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CC48F2"/>
    <w:multiLevelType w:val="hybridMultilevel"/>
    <w:tmpl w:val="7F9C29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5F6418"/>
    <w:multiLevelType w:val="multilevel"/>
    <w:tmpl w:val="979C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023A56"/>
    <w:multiLevelType w:val="multilevel"/>
    <w:tmpl w:val="5E46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AE21FE"/>
    <w:multiLevelType w:val="hybridMultilevel"/>
    <w:tmpl w:val="69C639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7E17099"/>
    <w:multiLevelType w:val="hybridMultilevel"/>
    <w:tmpl w:val="589027DC"/>
    <w:lvl w:ilvl="0" w:tplc="A8ECE0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CD7C97"/>
    <w:multiLevelType w:val="multilevel"/>
    <w:tmpl w:val="F61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C31A1E"/>
    <w:multiLevelType w:val="multilevel"/>
    <w:tmpl w:val="3802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B53D4D"/>
    <w:multiLevelType w:val="hybridMultilevel"/>
    <w:tmpl w:val="F432ADE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7CB155EE"/>
    <w:multiLevelType w:val="multilevel"/>
    <w:tmpl w:val="8712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946B7B"/>
    <w:multiLevelType w:val="hybridMultilevel"/>
    <w:tmpl w:val="17E049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E05506"/>
    <w:multiLevelType w:val="hybridMultilevel"/>
    <w:tmpl w:val="F7D40C88"/>
    <w:lvl w:ilvl="0" w:tplc="02E44D6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6"/>
  </w:num>
  <w:num w:numId="3">
    <w:abstractNumId w:val="26"/>
  </w:num>
  <w:num w:numId="4">
    <w:abstractNumId w:val="38"/>
  </w:num>
  <w:num w:numId="5">
    <w:abstractNumId w:val="18"/>
  </w:num>
  <w:num w:numId="6">
    <w:abstractNumId w:val="14"/>
  </w:num>
  <w:num w:numId="7">
    <w:abstractNumId w:val="32"/>
  </w:num>
  <w:num w:numId="8">
    <w:abstractNumId w:val="33"/>
  </w:num>
  <w:num w:numId="9">
    <w:abstractNumId w:val="48"/>
  </w:num>
  <w:num w:numId="10">
    <w:abstractNumId w:val="35"/>
  </w:num>
  <w:num w:numId="11">
    <w:abstractNumId w:val="0"/>
  </w:num>
  <w:num w:numId="12">
    <w:abstractNumId w:val="15"/>
  </w:num>
  <w:num w:numId="13">
    <w:abstractNumId w:val="10"/>
  </w:num>
  <w:num w:numId="14">
    <w:abstractNumId w:val="2"/>
  </w:num>
  <w:num w:numId="15">
    <w:abstractNumId w:val="24"/>
  </w:num>
  <w:num w:numId="16">
    <w:abstractNumId w:val="23"/>
  </w:num>
  <w:num w:numId="17">
    <w:abstractNumId w:val="39"/>
  </w:num>
  <w:num w:numId="18">
    <w:abstractNumId w:val="49"/>
  </w:num>
  <w:num w:numId="19">
    <w:abstractNumId w:val="29"/>
  </w:num>
  <w:num w:numId="20">
    <w:abstractNumId w:val="6"/>
  </w:num>
  <w:num w:numId="21">
    <w:abstractNumId w:val="22"/>
  </w:num>
  <w:num w:numId="22">
    <w:abstractNumId w:val="43"/>
  </w:num>
  <w:num w:numId="23">
    <w:abstractNumId w:val="31"/>
  </w:num>
  <w:num w:numId="24">
    <w:abstractNumId w:val="46"/>
  </w:num>
  <w:num w:numId="25">
    <w:abstractNumId w:val="13"/>
  </w:num>
  <w:num w:numId="26">
    <w:abstractNumId w:val="4"/>
  </w:num>
  <w:num w:numId="27">
    <w:abstractNumId w:val="42"/>
  </w:num>
  <w:num w:numId="28">
    <w:abstractNumId w:val="8"/>
  </w:num>
  <w:num w:numId="29">
    <w:abstractNumId w:val="34"/>
  </w:num>
  <w:num w:numId="30">
    <w:abstractNumId w:val="1"/>
  </w:num>
  <w:num w:numId="31">
    <w:abstractNumId w:val="27"/>
  </w:num>
  <w:num w:numId="32">
    <w:abstractNumId w:val="28"/>
  </w:num>
  <w:num w:numId="33">
    <w:abstractNumId w:val="3"/>
  </w:num>
  <w:num w:numId="34">
    <w:abstractNumId w:val="17"/>
  </w:num>
  <w:num w:numId="35">
    <w:abstractNumId w:val="7"/>
  </w:num>
  <w:num w:numId="36">
    <w:abstractNumId w:val="19"/>
  </w:num>
  <w:num w:numId="37">
    <w:abstractNumId w:val="25"/>
  </w:num>
  <w:num w:numId="38">
    <w:abstractNumId w:val="37"/>
  </w:num>
  <w:num w:numId="39">
    <w:abstractNumId w:val="16"/>
  </w:num>
  <w:num w:numId="40">
    <w:abstractNumId w:val="9"/>
  </w:num>
  <w:num w:numId="41">
    <w:abstractNumId w:val="44"/>
  </w:num>
  <w:num w:numId="42">
    <w:abstractNumId w:val="11"/>
  </w:num>
  <w:num w:numId="43">
    <w:abstractNumId w:val="30"/>
  </w:num>
  <w:num w:numId="44">
    <w:abstractNumId w:val="47"/>
  </w:num>
  <w:num w:numId="45">
    <w:abstractNumId w:val="12"/>
  </w:num>
  <w:num w:numId="46">
    <w:abstractNumId w:val="40"/>
  </w:num>
  <w:num w:numId="47">
    <w:abstractNumId w:val="5"/>
  </w:num>
  <w:num w:numId="48">
    <w:abstractNumId w:val="41"/>
  </w:num>
  <w:num w:numId="49">
    <w:abstractNumId w:val="21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53"/>
    <w:rsid w:val="00011D49"/>
    <w:rsid w:val="00016BB7"/>
    <w:rsid w:val="00046885"/>
    <w:rsid w:val="00055666"/>
    <w:rsid w:val="00073717"/>
    <w:rsid w:val="00081DD0"/>
    <w:rsid w:val="0008789E"/>
    <w:rsid w:val="000E3F37"/>
    <w:rsid w:val="000F6B78"/>
    <w:rsid w:val="00101C8C"/>
    <w:rsid w:val="0010467F"/>
    <w:rsid w:val="00132866"/>
    <w:rsid w:val="00141D3C"/>
    <w:rsid w:val="00151904"/>
    <w:rsid w:val="00187A8D"/>
    <w:rsid w:val="00187D89"/>
    <w:rsid w:val="001B00BF"/>
    <w:rsid w:val="001B4FE0"/>
    <w:rsid w:val="001D3884"/>
    <w:rsid w:val="00222BF2"/>
    <w:rsid w:val="00251FA2"/>
    <w:rsid w:val="0025724B"/>
    <w:rsid w:val="00264EFF"/>
    <w:rsid w:val="00274EE7"/>
    <w:rsid w:val="00277699"/>
    <w:rsid w:val="00285B15"/>
    <w:rsid w:val="002A356A"/>
    <w:rsid w:val="002B0C54"/>
    <w:rsid w:val="002C2BEF"/>
    <w:rsid w:val="002F6234"/>
    <w:rsid w:val="00304648"/>
    <w:rsid w:val="00334B88"/>
    <w:rsid w:val="00353767"/>
    <w:rsid w:val="00354828"/>
    <w:rsid w:val="003811DA"/>
    <w:rsid w:val="00384EF7"/>
    <w:rsid w:val="00393593"/>
    <w:rsid w:val="003A2066"/>
    <w:rsid w:val="003A55E0"/>
    <w:rsid w:val="003C27EB"/>
    <w:rsid w:val="003C5869"/>
    <w:rsid w:val="003D5D62"/>
    <w:rsid w:val="003E05C7"/>
    <w:rsid w:val="0040014D"/>
    <w:rsid w:val="0040137E"/>
    <w:rsid w:val="00444743"/>
    <w:rsid w:val="004661A0"/>
    <w:rsid w:val="0047441C"/>
    <w:rsid w:val="004A7542"/>
    <w:rsid w:val="004F38DE"/>
    <w:rsid w:val="004F7A6F"/>
    <w:rsid w:val="00503619"/>
    <w:rsid w:val="00515ECA"/>
    <w:rsid w:val="00517B58"/>
    <w:rsid w:val="0052170E"/>
    <w:rsid w:val="00523873"/>
    <w:rsid w:val="00535448"/>
    <w:rsid w:val="00553D79"/>
    <w:rsid w:val="00576DE6"/>
    <w:rsid w:val="005868C0"/>
    <w:rsid w:val="00597DAB"/>
    <w:rsid w:val="005B77CD"/>
    <w:rsid w:val="005C2127"/>
    <w:rsid w:val="005C32E3"/>
    <w:rsid w:val="005D10B7"/>
    <w:rsid w:val="005D2FAD"/>
    <w:rsid w:val="005D3806"/>
    <w:rsid w:val="005E089E"/>
    <w:rsid w:val="00601253"/>
    <w:rsid w:val="00620576"/>
    <w:rsid w:val="00632067"/>
    <w:rsid w:val="0067361D"/>
    <w:rsid w:val="006A2143"/>
    <w:rsid w:val="006C1DE7"/>
    <w:rsid w:val="006F5E7A"/>
    <w:rsid w:val="00711F52"/>
    <w:rsid w:val="0071622C"/>
    <w:rsid w:val="00731BDA"/>
    <w:rsid w:val="00745066"/>
    <w:rsid w:val="00756AAA"/>
    <w:rsid w:val="00791165"/>
    <w:rsid w:val="007942C7"/>
    <w:rsid w:val="00794AE1"/>
    <w:rsid w:val="007A60E7"/>
    <w:rsid w:val="007B08AC"/>
    <w:rsid w:val="007B3D8C"/>
    <w:rsid w:val="007F7395"/>
    <w:rsid w:val="00802902"/>
    <w:rsid w:val="00803A75"/>
    <w:rsid w:val="0080557C"/>
    <w:rsid w:val="00816516"/>
    <w:rsid w:val="00821B5F"/>
    <w:rsid w:val="00827488"/>
    <w:rsid w:val="00830BC8"/>
    <w:rsid w:val="00842C50"/>
    <w:rsid w:val="0084475C"/>
    <w:rsid w:val="00852C33"/>
    <w:rsid w:val="0085377D"/>
    <w:rsid w:val="008717CB"/>
    <w:rsid w:val="008A5444"/>
    <w:rsid w:val="00912014"/>
    <w:rsid w:val="00987ADA"/>
    <w:rsid w:val="00987C14"/>
    <w:rsid w:val="00996E45"/>
    <w:rsid w:val="009A3865"/>
    <w:rsid w:val="009A6E73"/>
    <w:rsid w:val="009F36E9"/>
    <w:rsid w:val="009F763E"/>
    <w:rsid w:val="00A23035"/>
    <w:rsid w:val="00A33641"/>
    <w:rsid w:val="00A51228"/>
    <w:rsid w:val="00A54051"/>
    <w:rsid w:val="00A54947"/>
    <w:rsid w:val="00A776DC"/>
    <w:rsid w:val="00A8295C"/>
    <w:rsid w:val="00AA077E"/>
    <w:rsid w:val="00AA5B5A"/>
    <w:rsid w:val="00AC763E"/>
    <w:rsid w:val="00AD7DE4"/>
    <w:rsid w:val="00AF73D9"/>
    <w:rsid w:val="00B0613F"/>
    <w:rsid w:val="00B17795"/>
    <w:rsid w:val="00B84724"/>
    <w:rsid w:val="00B92F53"/>
    <w:rsid w:val="00BB6799"/>
    <w:rsid w:val="00BD68D1"/>
    <w:rsid w:val="00BE1BE5"/>
    <w:rsid w:val="00C35A78"/>
    <w:rsid w:val="00C53CF6"/>
    <w:rsid w:val="00C72297"/>
    <w:rsid w:val="00C93A08"/>
    <w:rsid w:val="00C94304"/>
    <w:rsid w:val="00CB5B12"/>
    <w:rsid w:val="00CC1589"/>
    <w:rsid w:val="00CC6D62"/>
    <w:rsid w:val="00CD04BB"/>
    <w:rsid w:val="00D10801"/>
    <w:rsid w:val="00D83EF9"/>
    <w:rsid w:val="00D90E0E"/>
    <w:rsid w:val="00DA1AC3"/>
    <w:rsid w:val="00DC0EC3"/>
    <w:rsid w:val="00DC2726"/>
    <w:rsid w:val="00E27540"/>
    <w:rsid w:val="00E37E59"/>
    <w:rsid w:val="00E42D2B"/>
    <w:rsid w:val="00E668D9"/>
    <w:rsid w:val="00EC4884"/>
    <w:rsid w:val="00EC50FE"/>
    <w:rsid w:val="00F10CBA"/>
    <w:rsid w:val="00F35E74"/>
    <w:rsid w:val="00F52A74"/>
    <w:rsid w:val="00F52AFB"/>
    <w:rsid w:val="00F6083A"/>
    <w:rsid w:val="00F81999"/>
    <w:rsid w:val="00F81D37"/>
    <w:rsid w:val="00F90E7F"/>
    <w:rsid w:val="00FA664A"/>
    <w:rsid w:val="00FB3F44"/>
    <w:rsid w:val="00FB4500"/>
    <w:rsid w:val="00FC0F15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50AAA-1A43-4833-99CC-ECE1F4F4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228"/>
  </w:style>
  <w:style w:type="paragraph" w:styleId="Heading1">
    <w:name w:val="heading 1"/>
    <w:basedOn w:val="Normal"/>
    <w:next w:val="Normal"/>
    <w:link w:val="Heading1Char"/>
    <w:uiPriority w:val="9"/>
    <w:qFormat/>
    <w:rsid w:val="003D5D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53"/>
  </w:style>
  <w:style w:type="paragraph" w:styleId="Footer">
    <w:name w:val="footer"/>
    <w:basedOn w:val="Normal"/>
    <w:link w:val="FooterChar"/>
    <w:uiPriority w:val="99"/>
    <w:unhideWhenUsed/>
    <w:rsid w:val="0060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53"/>
  </w:style>
  <w:style w:type="paragraph" w:styleId="ListParagraph">
    <w:name w:val="List Paragraph"/>
    <w:basedOn w:val="Normal"/>
    <w:uiPriority w:val="34"/>
    <w:qFormat/>
    <w:rsid w:val="002776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5D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D5D62"/>
    <w:rPr>
      <w:color w:val="808080"/>
    </w:rPr>
  </w:style>
  <w:style w:type="table" w:styleId="TableGrid">
    <w:name w:val="Table Grid"/>
    <w:basedOn w:val="TableNormal"/>
    <w:uiPriority w:val="59"/>
    <w:rsid w:val="00F35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9F763E"/>
  </w:style>
  <w:style w:type="paragraph" w:customStyle="1" w:styleId="Default">
    <w:name w:val="Default"/>
    <w:rsid w:val="00FE6BBF"/>
    <w:pPr>
      <w:autoSpaceDE w:val="0"/>
      <w:autoSpaceDN w:val="0"/>
      <w:adjustRightInd w:val="0"/>
      <w:spacing w:after="0" w:line="240" w:lineRule="auto"/>
    </w:pPr>
    <w:rPr>
      <w:rFonts w:ascii="Comic Sans MS" w:eastAsiaTheme="minorHAnsi" w:hAnsi="Comic Sans MS" w:cs="Comic Sans MS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E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A544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F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Modélisation pharmacocinétiques (voie orale) et Bioéquivalence</vt:lpstr>
      <vt:lpstr>Modélisation pharmacocinétiques (voie orale) et Bioéquivalence</vt:lpstr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Modélisation pharmacocinétiques (voie orale) et Bioéquivalence</dc:title>
  <dc:creator>pc</dc:creator>
  <cp:lastModifiedBy>Seyfou</cp:lastModifiedBy>
  <cp:revision>2</cp:revision>
  <dcterms:created xsi:type="dcterms:W3CDTF">2025-03-04T05:50:00Z</dcterms:created>
  <dcterms:modified xsi:type="dcterms:W3CDTF">2025-03-04T05:50:00Z</dcterms:modified>
</cp:coreProperties>
</file>