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17FA4151" w:rsidR="004B261C" w:rsidRPr="004703D8" w:rsidRDefault="004703D8" w:rsidP="004703D8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idée essentielle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nous faut noter est que, même si le talent et le génie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comportent un moment naturel, ce moment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demande pas moins essentiellement à être formé et éduqué par la pensée, de même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nécessite une réflexion sur le mode de sa production ainsi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savoir-faire exercé et assuré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exécution. Car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des aspects principaux de cette production est malgré tout un travail extérieur, dès lors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’œ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uvre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 a un côté purement technique qui confine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artisanal, surtout en architecture et en sculpture, un peu moins en peinture et en musique, et dans une faible mesure encore en poésie. Pour acquérir en ce domaine un parfait savoir-faire, ce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inspiration qui peut être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quelconque secours, mais seulement la réflexion,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application et une pratique assidue. Or il se trouve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tel savoir-faire est indispensable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artiste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veut se rendre maître du matériau extérieur et ne pas être gêné par son âpre résistance.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28292F7E" w14:textId="4F0FC8B1" w:rsidR="004703D8" w:rsidRPr="004703D8" w:rsidRDefault="004703D8" w:rsidP="004703D8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2B9318ED" w14:textId="5D6F24FD" w:rsidR="004703D8" w:rsidRPr="004703D8" w:rsidRDefault="004703D8" w:rsidP="004703D8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Hegel, </w:t>
      </w:r>
      <w:r w:rsidRPr="004703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Cours d</w:t>
      </w:r>
      <w:r w:rsidRPr="004703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’</w:t>
      </w:r>
      <w:r w:rsidRPr="004703D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esthétique I, 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traduction J.-P. L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efebvre 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et V. V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on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 S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chenck</w:t>
      </w:r>
      <w:r w:rsidRPr="004703D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, Paris, Aubier, 1995 (Bibliothèque philosophique) p. 40</w:t>
      </w:r>
    </w:p>
    <w:sectPr w:rsidR="004703D8" w:rsidRPr="0047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703D8"/>
    <w:rsid w:val="00487657"/>
    <w:rsid w:val="004B261C"/>
    <w:rsid w:val="008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2021-01-18T15:11:00Z</dcterms:modified>
</cp:coreProperties>
</file>