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867CA" w14:textId="5CBEC784" w:rsidR="004B261C" w:rsidRPr="00746071" w:rsidRDefault="00746071" w:rsidP="00746071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 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faut aller ici jusqu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au tréfonds des choses et s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interdire toute faiblesse sentimentale : vivre, c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essentiellement dépouiller, blesser, violenter le faible et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étranger,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opprimer, lui imposer durement ses formes propres,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assimiler ou tout au moins (c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la solution la plus douce)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exploiter ; mais pourquoi employer toujours ces mots auxquels depuis longtemps s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attache un sens calomnieux ? Le corps à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intérieur duquel, comme il a été posé plus haut, les individus se traitent en égaux — c'est le cas dans toute aristocratie saine — est lui-même obligé, s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est vivant et non moribond, de faire contre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autres corps ce que les individus dont il est composé s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abstiennent de se faire entre eux. Il sera nécessairement volonté de puissance incarnée, il voudra croître et s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étendre, accaparer, conquérir la prépondérance, non pour je ne sais quelles raisons morales ou immorales, mais parce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vit, et que la vie, précisément, est volonté de puissance. Mais sur aucun point la conscience collective des Européens ne répugne plus à se laisser convaincre. La mode est de s'adonner à toutes sortes de rêveries, quelques-unes parées de couleurs scientifiques, qui nous peignent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état futur de la société, lorsqu'elle aura dépouillé tout caractère d</w:t>
      </w:r>
      <w:proofErr w:type="gramStart"/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</w:t>
      </w:r>
      <w:proofErr w:type="gramEnd"/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 exploitation ». Cela résonne à mes oreilles comme si on promettait d'inventer une forme de vie qui s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abstiendrait de toute fonction organique. L</w:t>
      </w:r>
      <w:proofErr w:type="gramStart"/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</w:t>
      </w:r>
      <w:proofErr w:type="gramEnd"/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 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exploitation »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pas le fait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une société corrompue, imparfaite ou primitive ; elle est inhérente à la nature même de la vie, c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est la fonction organique primordiale, une conséquence de la volonté de puissance proprement dite, qui est la volonté même de la vie. 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 supposer que ce soit là une théorie neuve, c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en réalité le fait primordial de toute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histoire, ayons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46071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honnêteté de le reconnaître.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 »</w:t>
      </w:r>
    </w:p>
    <w:p w14:paraId="1C8C82A3" w14:textId="557C6DF2" w:rsidR="00746071" w:rsidRPr="00746071" w:rsidRDefault="00746071" w:rsidP="00746071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</w:p>
    <w:p w14:paraId="70FD20C9" w14:textId="77777777" w:rsidR="00746071" w:rsidRDefault="00746071" w:rsidP="00746071">
      <w:pPr>
        <w:spacing w:after="12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</w:pPr>
      <w:r w:rsidRPr="00746071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Nietzsche, </w:t>
      </w:r>
      <w:r w:rsidRPr="00746071"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  <w:lang w:val="fr-FR"/>
        </w:rPr>
        <w:t>Par-delà le bien et le mal</w:t>
      </w:r>
      <w:r w:rsidRPr="00746071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, § 259, </w:t>
      </w:r>
    </w:p>
    <w:p w14:paraId="2192C8BD" w14:textId="1DF8E886" w:rsidR="00746071" w:rsidRPr="00746071" w:rsidRDefault="00746071" w:rsidP="00746071">
      <w:pPr>
        <w:spacing w:after="12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746071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trad. </w:t>
      </w:r>
      <w:r w:rsidRPr="00746071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G. </w:t>
      </w:r>
      <w:proofErr w:type="spellStart"/>
      <w:r w:rsidRPr="00746071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Bianquis</w:t>
      </w:r>
      <w:proofErr w:type="spellEnd"/>
      <w:r w:rsidRPr="00746071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, UGE, 10 / 18, 1970.</w:t>
      </w:r>
    </w:p>
    <w:sectPr w:rsidR="00746071" w:rsidRPr="00746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80"/>
    <w:rsid w:val="00267B72"/>
    <w:rsid w:val="00323480"/>
    <w:rsid w:val="0035294A"/>
    <w:rsid w:val="00487657"/>
    <w:rsid w:val="004B261C"/>
    <w:rsid w:val="00746071"/>
    <w:rsid w:val="0086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705C"/>
  <w15:chartTrackingRefBased/>
  <w15:docId w15:val="{B82DFC4F-32BF-40BD-82C1-F17B860C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1C7D"/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</w:pPr>
    <w:rPr>
      <w:rFonts w:ascii="Arial" w:eastAsia="Arial" w:hAnsi="Arial" w:cs="Arial"/>
      <w:color w:val="000000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Chaouki ZINE</dc:creator>
  <cp:keywords/>
  <dc:description/>
  <cp:lastModifiedBy>Mohammed Chaouki ZINE</cp:lastModifiedBy>
  <cp:revision>6</cp:revision>
  <dcterms:created xsi:type="dcterms:W3CDTF">2020-12-20T18:07:00Z</dcterms:created>
  <dcterms:modified xsi:type="dcterms:W3CDTF">2021-01-09T18:18:00Z</dcterms:modified>
</cp:coreProperties>
</file>