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4A06E231" w:rsidR="004B261C" w:rsidRDefault="008E1A70" w:rsidP="008E1A70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entendra ici par mythe ce que l'histoire des religions y discerne aujourd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hui : non point une fausse explication par le moyen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images et de fables, mais un récit traditionnel, portant sur des événements arrivés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origine des temps et destiné à fonder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action rituelle des hommes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aujourd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hui et de manière générale à instituer toutes les formes d'action et de pensée par lesquelles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se comprend lui-même dans son monde. Pour nous, modernes, le mythe est seulement mythe parce que nous ne pouvons plus relier ce temps à celui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histoire telle que nous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écrivons selon la méthode critique, ni non plus rattacher les lieux du mythe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espace de notre géographie :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pourquoi le mythe ne peut plus être explication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; exclure son intention étiologique,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le thème de toute nécessaire démythologisation.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Mais en perdant ses prétentions explicatives le mythe révèle sa portée exploratoire et compréhensive, ce que nous appellerons plus loin sa fonction symbolique,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est-à-dire son pouvoir de découvrir, de dévoiler le lien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à son sacré. Aussi paradoxal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paraisse, le mythe, ainsi démythologisé au contact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histoire scientifique et élevé à la dignité de symbole, est une dimension de la pensée moderne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8E1A7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05204AF8" w14:textId="42E8C56A" w:rsidR="008E1A70" w:rsidRDefault="008E1A70" w:rsidP="008E1A70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39CB9931" w14:textId="126AB96F" w:rsidR="008E1A70" w:rsidRDefault="008E1A70" w:rsidP="008E1A70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</w:pPr>
      <w:r w:rsidRPr="008E1A7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Paul Ric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œ</w:t>
      </w:r>
      <w:r w:rsidRPr="008E1A7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ur, </w:t>
      </w:r>
      <w:r w:rsidRPr="008E1A70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Philosophie de la volonté</w:t>
      </w:r>
      <w:r w:rsidRPr="008E1A7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, Paris, </w:t>
      </w:r>
    </w:p>
    <w:p w14:paraId="76EA4B9F" w14:textId="52C0B914" w:rsidR="008E1A70" w:rsidRPr="008E1A70" w:rsidRDefault="008E1A70" w:rsidP="008E1A70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E1A7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Aubier-Montaigne, 1960, p. 12.</w:t>
      </w:r>
    </w:p>
    <w:sectPr w:rsidR="008E1A70" w:rsidRPr="008E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861C7D"/>
    <w:rsid w:val="008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2021-01-01T16:01:00Z</dcterms:modified>
</cp:coreProperties>
</file>