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318ED" w14:textId="2D1300F6" w:rsidR="004703D8" w:rsidRPr="003A3547" w:rsidRDefault="003A3547" w:rsidP="003A3547">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Pr="003A3547">
        <w:rPr>
          <w:rFonts w:asciiTheme="majorBidi" w:hAnsiTheme="majorBidi" w:cstheme="majorBidi"/>
          <w:sz w:val="28"/>
          <w:szCs w:val="28"/>
          <w:shd w:val="clear" w:color="auto" w:fill="FFFFFF"/>
          <w:lang w:val="fr-FR"/>
        </w:rPr>
        <w:t>Toute histoire peut être comprise comme avènement d</w:t>
      </w:r>
      <w:r w:rsidR="00CE3E5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 xml:space="preserve">un sens et émergence de singularités. Ces singularités sont, soit des événements, soit des </w:t>
      </w:r>
      <w:r w:rsidR="00CE3E59">
        <w:rPr>
          <w:rFonts w:asciiTheme="majorBidi" w:hAnsiTheme="majorBidi" w:cstheme="majorBidi"/>
          <w:sz w:val="28"/>
          <w:szCs w:val="28"/>
          <w:shd w:val="clear" w:color="auto" w:fill="FFFFFF"/>
          <w:lang w:val="fr-FR"/>
        </w:rPr>
        <w:t>œ</w:t>
      </w:r>
      <w:r w:rsidRPr="003A3547">
        <w:rPr>
          <w:rFonts w:asciiTheme="majorBidi" w:hAnsiTheme="majorBidi" w:cstheme="majorBidi"/>
          <w:sz w:val="28"/>
          <w:szCs w:val="28"/>
          <w:shd w:val="clear" w:color="auto" w:fill="FFFFFF"/>
          <w:lang w:val="fr-FR"/>
        </w:rPr>
        <w:t>uvres, soit des personnes. L</w:t>
      </w:r>
      <w:r w:rsidR="00CE3E5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histoire hésite entre un type structural et un type événementiel [...]</w:t>
      </w:r>
      <w:r w:rsidRPr="003A3547">
        <w:rPr>
          <w:rFonts w:asciiTheme="majorBidi" w:hAnsiTheme="majorBidi" w:cstheme="majorBidi"/>
          <w:sz w:val="28"/>
          <w:szCs w:val="28"/>
          <w:shd w:val="clear" w:color="auto" w:fill="FFFFFF"/>
          <w:lang w:val="fr-FR"/>
        </w:rPr>
        <w:br/>
        <w:t>En quel sens l</w:t>
      </w:r>
      <w:r w:rsidR="00CE3E5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histoire comporte-t-elle cette double possibilité ? D</w:t>
      </w:r>
      <w:r w:rsidR="00CE3E5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un côté, nous disons l</w:t>
      </w:r>
      <w:r w:rsidR="00CE3E5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histoire au singulier et attestons qu</w:t>
      </w:r>
      <w:r w:rsidR="00CE3E5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il y a une unique histoire, une unique humanité : « Toute la suite des hommes, écrit Pascal, dans le fragment d</w:t>
      </w:r>
      <w:r w:rsidR="00CE3E5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 xml:space="preserve">un Traité du vide, doit être considérée comme un même homme qui subsiste toujours et qui apprend continuellement. » Nous avons la conviction que, là où nous rencontrons quelque signe humain, il peut, </w:t>
      </w:r>
      <w:r w:rsidRPr="00CE3E59">
        <w:rPr>
          <w:rFonts w:asciiTheme="majorBidi" w:hAnsiTheme="majorBidi" w:cstheme="majorBidi"/>
          <w:i/>
          <w:iCs/>
          <w:sz w:val="28"/>
          <w:szCs w:val="28"/>
          <w:shd w:val="clear" w:color="auto" w:fill="FFFFFF"/>
          <w:lang w:val="fr-FR"/>
        </w:rPr>
        <w:t>a priori</w:t>
      </w:r>
      <w:r w:rsidRPr="003A3547">
        <w:rPr>
          <w:rFonts w:asciiTheme="majorBidi" w:hAnsiTheme="majorBidi" w:cstheme="majorBidi"/>
          <w:sz w:val="28"/>
          <w:szCs w:val="28"/>
          <w:shd w:val="clear" w:color="auto" w:fill="FFFFFF"/>
          <w:lang w:val="fr-FR"/>
        </w:rPr>
        <w:t>, être rapporté à un unique champ d</w:t>
      </w:r>
      <w:r w:rsidR="00CE3E5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humanité. Cela, je le sais avant même de faire de l</w:t>
      </w:r>
      <w:r w:rsidR="003976A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histoire, par une sorte de compréhension antéprédicative du champ historique. Mais de cette compréhension l</w:t>
      </w:r>
      <w:r w:rsidR="003976A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 xml:space="preserve">historien ne peut rendre raison. Elle reste, pour lui, un « </w:t>
      </w:r>
      <w:proofErr w:type="spellStart"/>
      <w:r w:rsidRPr="003A3547">
        <w:rPr>
          <w:rFonts w:asciiTheme="majorBidi" w:hAnsiTheme="majorBidi" w:cstheme="majorBidi"/>
          <w:sz w:val="28"/>
          <w:szCs w:val="28"/>
          <w:shd w:val="clear" w:color="auto" w:fill="FFFFFF"/>
          <w:lang w:val="fr-FR"/>
        </w:rPr>
        <w:t>pré-jugé</w:t>
      </w:r>
      <w:proofErr w:type="spellEnd"/>
      <w:r w:rsidRPr="003A3547">
        <w:rPr>
          <w:rFonts w:asciiTheme="majorBidi" w:hAnsiTheme="majorBidi" w:cstheme="majorBidi"/>
          <w:sz w:val="28"/>
          <w:szCs w:val="28"/>
          <w:shd w:val="clear" w:color="auto" w:fill="FFFFFF"/>
          <w:lang w:val="fr-FR"/>
        </w:rPr>
        <w:t xml:space="preserve"> », au sens fort du terme. Ce préjugé de l</w:t>
      </w:r>
      <w:r w:rsidR="003976A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historien n</w:t>
      </w:r>
      <w:r w:rsidR="003976A9">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est justifié que par la tentative du philosophe pour récupérer, dans un unique discours, les discours partiels. Même sans être hégéliens, et même sans être philosophes du tout, nous avons le sentiment que tout ce que les philosophes ont dit, partout et toujours, doit pouvoir constituer un continent, une réalité d</w:t>
      </w:r>
      <w:r w:rsidR="005E13EA">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un seul tenant : c</w:t>
      </w:r>
      <w:r w:rsidR="005E13EA">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est la parole humaine, c</w:t>
      </w:r>
      <w:r w:rsidR="005E13EA">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est le discours, c</w:t>
      </w:r>
      <w:r w:rsidR="005E13EA">
        <w:rPr>
          <w:rFonts w:asciiTheme="majorBidi" w:hAnsiTheme="majorBidi" w:cstheme="majorBidi"/>
          <w:sz w:val="28"/>
          <w:szCs w:val="28"/>
          <w:shd w:val="clear" w:color="auto" w:fill="FFFFFF"/>
          <w:lang w:val="fr-FR"/>
        </w:rPr>
        <w:t>’</w:t>
      </w:r>
      <w:r w:rsidRPr="003A3547">
        <w:rPr>
          <w:rFonts w:asciiTheme="majorBidi" w:hAnsiTheme="majorBidi" w:cstheme="majorBidi"/>
          <w:sz w:val="28"/>
          <w:szCs w:val="28"/>
          <w:shd w:val="clear" w:color="auto" w:fill="FFFFFF"/>
          <w:lang w:val="fr-FR"/>
        </w:rPr>
        <w:t xml:space="preserve">est le </w:t>
      </w:r>
      <w:r w:rsidRPr="00B9701E">
        <w:rPr>
          <w:rFonts w:asciiTheme="majorBidi" w:hAnsiTheme="majorBidi" w:cstheme="majorBidi"/>
          <w:i/>
          <w:iCs/>
          <w:sz w:val="28"/>
          <w:szCs w:val="28"/>
          <w:shd w:val="clear" w:color="auto" w:fill="FFFFFF"/>
          <w:lang w:val="fr-FR"/>
        </w:rPr>
        <w:t>Logos</w:t>
      </w:r>
      <w:r w:rsidRPr="003A3547">
        <w:rPr>
          <w:rFonts w:asciiTheme="majorBidi" w:hAnsiTheme="majorBidi" w:cstheme="majorBidi"/>
          <w:sz w:val="28"/>
          <w:szCs w:val="28"/>
          <w:shd w:val="clear" w:color="auto" w:fill="FFFFFF"/>
          <w:lang w:val="fr-FR"/>
        </w:rPr>
        <w:t>.</w:t>
      </w:r>
      <w:r>
        <w:rPr>
          <w:rFonts w:asciiTheme="majorBidi" w:hAnsiTheme="majorBidi" w:cstheme="majorBidi"/>
          <w:sz w:val="28"/>
          <w:szCs w:val="28"/>
          <w:shd w:val="clear" w:color="auto" w:fill="FFFFFF"/>
          <w:lang w:val="fr-FR"/>
        </w:rPr>
        <w:t> »</w:t>
      </w:r>
    </w:p>
    <w:p w14:paraId="6E9F0E14" w14:textId="66EC05E1" w:rsidR="003A3547" w:rsidRPr="003A3547" w:rsidRDefault="003A3547" w:rsidP="003A3547">
      <w:pPr>
        <w:spacing w:after="120" w:line="360" w:lineRule="auto"/>
        <w:jc w:val="both"/>
        <w:rPr>
          <w:rFonts w:asciiTheme="majorBidi" w:hAnsiTheme="majorBidi" w:cstheme="majorBidi"/>
          <w:sz w:val="28"/>
          <w:szCs w:val="28"/>
          <w:shd w:val="clear" w:color="auto" w:fill="FFFFFF"/>
          <w:lang w:val="fr-FR"/>
        </w:rPr>
      </w:pPr>
    </w:p>
    <w:p w14:paraId="113E3D9E" w14:textId="3FBC4918" w:rsidR="003A3547" w:rsidRDefault="003A3547" w:rsidP="003A3547">
      <w:pPr>
        <w:spacing w:after="120" w:line="360" w:lineRule="auto"/>
        <w:jc w:val="center"/>
        <w:rPr>
          <w:rFonts w:asciiTheme="majorBidi" w:hAnsiTheme="majorBidi" w:cstheme="majorBidi"/>
          <w:b/>
          <w:bCs/>
          <w:i/>
          <w:iCs/>
          <w:sz w:val="28"/>
          <w:szCs w:val="28"/>
          <w:shd w:val="clear" w:color="auto" w:fill="FFFFFF"/>
          <w:lang w:val="fr-FR"/>
        </w:rPr>
      </w:pPr>
      <w:r w:rsidRPr="003A3547">
        <w:rPr>
          <w:rFonts w:asciiTheme="majorBidi" w:hAnsiTheme="majorBidi" w:cstheme="majorBidi"/>
          <w:b/>
          <w:bCs/>
          <w:sz w:val="28"/>
          <w:szCs w:val="28"/>
          <w:shd w:val="clear" w:color="auto" w:fill="FFFFFF"/>
          <w:lang w:val="fr-FR"/>
        </w:rPr>
        <w:t xml:space="preserve">Paul Ricœur, </w:t>
      </w:r>
      <w:r w:rsidRPr="00B63140">
        <w:rPr>
          <w:rFonts w:asciiTheme="majorBidi" w:hAnsiTheme="majorBidi" w:cstheme="majorBidi"/>
          <w:b/>
          <w:bCs/>
          <w:sz w:val="28"/>
          <w:szCs w:val="28"/>
          <w:shd w:val="clear" w:color="auto" w:fill="FFFFFF"/>
          <w:lang w:val="fr-FR"/>
        </w:rPr>
        <w:t>« </w:t>
      </w:r>
      <w:r w:rsidRPr="00B63140">
        <w:rPr>
          <w:rFonts w:asciiTheme="majorBidi" w:hAnsiTheme="majorBidi" w:cstheme="majorBidi"/>
          <w:b/>
          <w:bCs/>
          <w:sz w:val="28"/>
          <w:szCs w:val="28"/>
          <w:shd w:val="clear" w:color="auto" w:fill="FFFFFF"/>
          <w:lang w:val="fr-FR"/>
        </w:rPr>
        <w:t>Histoire de la philosophie et historicité</w:t>
      </w:r>
      <w:r w:rsidRPr="00B63140">
        <w:rPr>
          <w:rFonts w:asciiTheme="majorBidi" w:hAnsiTheme="majorBidi" w:cstheme="majorBidi"/>
          <w:b/>
          <w:bCs/>
          <w:sz w:val="28"/>
          <w:szCs w:val="28"/>
          <w:shd w:val="clear" w:color="auto" w:fill="FFFFFF"/>
          <w:lang w:val="fr-FR"/>
        </w:rPr>
        <w:t> »</w:t>
      </w:r>
      <w:r w:rsidRPr="003A3547">
        <w:rPr>
          <w:rFonts w:asciiTheme="majorBidi" w:hAnsiTheme="majorBidi" w:cstheme="majorBidi"/>
          <w:b/>
          <w:bCs/>
          <w:i/>
          <w:iCs/>
          <w:sz w:val="28"/>
          <w:szCs w:val="28"/>
          <w:shd w:val="clear" w:color="auto" w:fill="FFFFFF"/>
          <w:lang w:val="fr-FR"/>
        </w:rPr>
        <w:t xml:space="preserve">, </w:t>
      </w:r>
    </w:p>
    <w:p w14:paraId="07AA893E" w14:textId="5F411463" w:rsidR="003A3547" w:rsidRPr="003A3547" w:rsidRDefault="003A3547" w:rsidP="003A3547">
      <w:pPr>
        <w:spacing w:after="120" w:line="360" w:lineRule="auto"/>
        <w:jc w:val="center"/>
        <w:rPr>
          <w:rFonts w:asciiTheme="majorBidi" w:hAnsiTheme="majorBidi" w:cstheme="majorBidi"/>
          <w:b/>
          <w:bCs/>
          <w:sz w:val="24"/>
          <w:szCs w:val="24"/>
          <w:lang w:val="fr-FR"/>
        </w:rPr>
      </w:pPr>
      <w:r>
        <w:rPr>
          <w:rFonts w:asciiTheme="majorBidi" w:hAnsiTheme="majorBidi" w:cstheme="majorBidi"/>
          <w:b/>
          <w:bCs/>
          <w:sz w:val="28"/>
          <w:szCs w:val="28"/>
          <w:shd w:val="clear" w:color="auto" w:fill="FFFFFF"/>
          <w:lang w:val="fr-FR"/>
        </w:rPr>
        <w:t>I</w:t>
      </w:r>
      <w:r w:rsidRPr="003A3547">
        <w:rPr>
          <w:rFonts w:asciiTheme="majorBidi" w:hAnsiTheme="majorBidi" w:cstheme="majorBidi"/>
          <w:b/>
          <w:bCs/>
          <w:sz w:val="28"/>
          <w:szCs w:val="28"/>
          <w:shd w:val="clear" w:color="auto" w:fill="FFFFFF"/>
          <w:lang w:val="fr-FR"/>
        </w:rPr>
        <w:t xml:space="preserve">n </w:t>
      </w:r>
      <w:r w:rsidRPr="003A3547">
        <w:rPr>
          <w:rFonts w:asciiTheme="majorBidi" w:hAnsiTheme="majorBidi" w:cstheme="majorBidi"/>
          <w:b/>
          <w:bCs/>
          <w:i/>
          <w:iCs/>
          <w:sz w:val="28"/>
          <w:szCs w:val="28"/>
          <w:shd w:val="clear" w:color="auto" w:fill="FFFFFF"/>
          <w:lang w:val="fr-FR"/>
        </w:rPr>
        <w:t>Histoire et Vérité</w:t>
      </w:r>
      <w:r w:rsidRPr="003A3547">
        <w:rPr>
          <w:rFonts w:asciiTheme="majorBidi" w:hAnsiTheme="majorBidi" w:cstheme="majorBidi"/>
          <w:b/>
          <w:bCs/>
          <w:sz w:val="28"/>
          <w:szCs w:val="28"/>
          <w:shd w:val="clear" w:color="auto" w:fill="FFFFFF"/>
          <w:lang w:val="fr-FR"/>
        </w:rPr>
        <w:t>, 1</w:t>
      </w:r>
      <w:r w:rsidRPr="003A3547">
        <w:rPr>
          <w:rFonts w:asciiTheme="majorBidi" w:hAnsiTheme="majorBidi" w:cstheme="majorBidi"/>
          <w:b/>
          <w:bCs/>
          <w:sz w:val="28"/>
          <w:szCs w:val="28"/>
          <w:shd w:val="clear" w:color="auto" w:fill="FFFFFF"/>
          <w:vertAlign w:val="superscript"/>
          <w:lang w:val="fr-FR"/>
        </w:rPr>
        <w:t>ère</w:t>
      </w:r>
      <w:r w:rsidRPr="003A3547">
        <w:rPr>
          <w:rFonts w:asciiTheme="majorBidi" w:hAnsiTheme="majorBidi" w:cstheme="majorBidi"/>
          <w:b/>
          <w:bCs/>
          <w:sz w:val="28"/>
          <w:szCs w:val="28"/>
          <w:shd w:val="clear" w:color="auto" w:fill="FFFFFF"/>
          <w:lang w:val="fr-FR"/>
        </w:rPr>
        <w:t xml:space="preserve"> </w:t>
      </w:r>
      <w:r w:rsidRPr="003A3547">
        <w:rPr>
          <w:rFonts w:asciiTheme="majorBidi" w:hAnsiTheme="majorBidi" w:cstheme="majorBidi"/>
          <w:b/>
          <w:bCs/>
          <w:sz w:val="28"/>
          <w:szCs w:val="28"/>
          <w:shd w:val="clear" w:color="auto" w:fill="FFFFFF"/>
          <w:lang w:val="fr-FR"/>
        </w:rPr>
        <w:t>partie II, Le Seuil, 1955.</w:t>
      </w:r>
    </w:p>
    <w:sectPr w:rsidR="003A3547" w:rsidRPr="003A3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267B72"/>
    <w:rsid w:val="00323480"/>
    <w:rsid w:val="0035294A"/>
    <w:rsid w:val="003976A9"/>
    <w:rsid w:val="003A3547"/>
    <w:rsid w:val="004703D8"/>
    <w:rsid w:val="00487657"/>
    <w:rsid w:val="004B261C"/>
    <w:rsid w:val="005E13EA"/>
    <w:rsid w:val="00861C7D"/>
    <w:rsid w:val="00B63140"/>
    <w:rsid w:val="00B9701E"/>
    <w:rsid w:val="00CE3E5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234</Words>
  <Characters>1292</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12</cp:revision>
  <dcterms:created xsi:type="dcterms:W3CDTF">2020-12-20T18:07:00Z</dcterms:created>
  <dcterms:modified xsi:type="dcterms:W3CDTF">2021-02-08T16:45:00Z</dcterms:modified>
</cp:coreProperties>
</file>