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CFD" w:rsidRPr="00D3621C" w:rsidRDefault="00C51CFD" w:rsidP="00C51CFD">
      <w:pPr>
        <w:jc w:val="center"/>
        <w:rPr>
          <w:rFonts w:ascii="Arabic Typesetting" w:hAnsi="Arabic Typesetting" w:cs="Arabic Typesetting"/>
          <w:b/>
          <w:bCs/>
          <w:color w:val="auto"/>
          <w:sz w:val="44"/>
          <w:szCs w:val="44"/>
          <w:u w:val="single"/>
          <w:rtl/>
        </w:rPr>
      </w:pPr>
      <w:r w:rsidRPr="00D3621C">
        <w:rPr>
          <w:rFonts w:ascii="Arabic Typesetting" w:hAnsi="Arabic Typesetting" w:cs="Arabic Typesetting"/>
          <w:b/>
          <w:bCs/>
          <w:color w:val="auto"/>
          <w:sz w:val="44"/>
          <w:szCs w:val="44"/>
          <w:u w:val="single"/>
          <w:rtl/>
        </w:rPr>
        <w:t>أسباب النزول</w:t>
      </w:r>
      <w:r>
        <w:rPr>
          <w:rStyle w:val="Appelnotedebasdep"/>
          <w:rFonts w:ascii="Arabic Typesetting" w:hAnsi="Arabic Typesetting"/>
          <w:color w:val="auto"/>
          <w:rtl/>
          <w:lang w:val="fr-FR" w:eastAsia="en-US"/>
        </w:rPr>
        <w:footnoteReference w:id="2"/>
      </w:r>
    </w:p>
    <w:p w:rsidR="00C51CFD" w:rsidRPr="00D3621C" w:rsidRDefault="00C51CFD" w:rsidP="00C51CFD">
      <w:pPr>
        <w:pStyle w:val="Paragraphedeliste"/>
        <w:widowControl/>
        <w:numPr>
          <w:ilvl w:val="0"/>
          <w:numId w:val="1"/>
        </w:numPr>
        <w:autoSpaceDE w:val="0"/>
        <w:autoSpaceDN w:val="0"/>
        <w:adjustRightInd w:val="0"/>
        <w:spacing w:before="240"/>
        <w:jc w:val="left"/>
        <w:rPr>
          <w:rFonts w:ascii="Arabic Typesetting" w:hAnsi="Arabic Typesetting" w:cs="Arabic Typesetting"/>
          <w:color w:val="auto"/>
          <w:rtl/>
          <w:lang w:val="fr-FR" w:eastAsia="en-US"/>
        </w:rPr>
      </w:pPr>
      <w:r w:rsidRPr="00D3621C">
        <w:rPr>
          <w:rFonts w:ascii="Arabic Typesetting" w:hAnsi="Arabic Typesetting" w:cs="Arabic Typesetting"/>
          <w:b/>
          <w:bCs/>
          <w:color w:val="auto"/>
          <w:rtl/>
          <w:lang w:val="fr-FR" w:eastAsia="en-US"/>
        </w:rPr>
        <w:t>معنى أسباب النزول</w:t>
      </w:r>
      <w:r w:rsidRPr="00D3621C">
        <w:rPr>
          <w:rFonts w:ascii="Arabic Typesetting" w:hAnsi="Arabic Typesetting" w:cs="Arabic Typesetting"/>
          <w:color w:val="auto"/>
          <w:rtl/>
          <w:lang w:val="fr-FR" w:eastAsia="en-US"/>
        </w:rPr>
        <w:t>:</w:t>
      </w:r>
    </w:p>
    <w:p w:rsidR="00C51CFD" w:rsidRPr="00D3621C"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لم يرتبط نزول جبريل عليه السّلام بالقرآن على النبي صلى الله عليه وسلم بأمر معين، كما أن رسول الله صلى الله عليه وسلم لم يكن يملك اختيار الوقت الذي ينزل فيه القرآن عليه، فذلك أمر مرتبط بمشيئة الله تعالى، وما على الرسول إلا البلاغ المبين، فكان القرآن يتنزل عليه في الليل أو النهار، في السفر أو في الحضر، قائما أو قاعدا، ماشيا أو راكبا، من غير أن يكون له في ذلك رأي أو اختيار.</w:t>
      </w:r>
    </w:p>
    <w:p w:rsidR="00C51CFD" w:rsidRPr="00D3621C"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وكان نزول القرآن- مع ذلك- يواكب سير الدعوة، ويربّي المؤمنين ويسدد خطواتهم، ومن ثمّ فإن نزول عدد من الآيات والسور ارتبط بأحداث معينة، فرسول الله صلى الله عليه وسلم كان يسأل من أصحابه أو من غيرهم. فربما أجاب من فوره، وربما انتظر نزول القرآن مبيّنا الجواب، أو موضحا الحكم، فإذا تأملت هذه الآيات الكريمة:</w:t>
      </w:r>
    </w:p>
    <w:p w:rsidR="00C51CFD" w:rsidRPr="00D3621C" w:rsidRDefault="00C51CFD" w:rsidP="00C51CFD">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xml:space="preserve">﴿ يَسْئَلُونَكَ عَنِ الْأَهِلَّةِ قُلْ هِيَ مَواقِيتُ لِلنَّاسِ وَالْحَجِّ ﴾ </w:t>
      </w:r>
      <w:r w:rsidRPr="00D3621C">
        <w:rPr>
          <w:rFonts w:ascii="Arabic Typesetting" w:hAnsi="Arabic Typesetting" w:cs="Arabic Typesetting"/>
          <w:color w:val="auto"/>
          <w:sz w:val="28"/>
          <w:szCs w:val="28"/>
          <w:rtl/>
          <w:lang w:val="fr-FR" w:eastAsia="en-US"/>
        </w:rPr>
        <w:t>[البقرة189:].</w:t>
      </w:r>
    </w:p>
    <w:p w:rsidR="00C51CFD" w:rsidRPr="00D3621C" w:rsidRDefault="00C51CFD" w:rsidP="00C51CFD">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xml:space="preserve">﴿ يَسْئَلُونَكَ ماذا يُنْفِقُونَ قُلْ ما أَنْفَقْتُمْ مِنْ خَيْرٍ فَلِلْوالِدَيْنِ ... ﴾ </w:t>
      </w:r>
      <w:r w:rsidRPr="00D3621C">
        <w:rPr>
          <w:rFonts w:ascii="Arabic Typesetting" w:hAnsi="Arabic Typesetting" w:cs="Arabic Typesetting"/>
          <w:color w:val="auto"/>
          <w:sz w:val="28"/>
          <w:szCs w:val="28"/>
          <w:rtl/>
          <w:lang w:val="fr-FR" w:eastAsia="en-US"/>
        </w:rPr>
        <w:t>[البقرة: 215].</w:t>
      </w:r>
    </w:p>
    <w:p w:rsidR="00C51CFD" w:rsidRPr="00D3621C" w:rsidRDefault="00C51CFD" w:rsidP="00C51CFD">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يَسْئَلُونَكَ عَنِ السَّاعَةِ أَيَّانَ مُرْساها قُلْ إِنَّما عِلْمُها عِنْدَ رَبِّي ﴾</w:t>
      </w:r>
      <w:r w:rsidRPr="00D3621C">
        <w:rPr>
          <w:rFonts w:ascii="Arabic Typesetting" w:hAnsi="Arabic Typesetting" w:cs="Arabic Typesetting"/>
          <w:color w:val="auto"/>
          <w:sz w:val="28"/>
          <w:szCs w:val="28"/>
          <w:rtl/>
          <w:lang w:val="fr-FR" w:eastAsia="en-US"/>
        </w:rPr>
        <w:t xml:space="preserve"> [الأعراف187:].</w:t>
      </w:r>
    </w:p>
    <w:p w:rsidR="00C51CFD" w:rsidRPr="00D3621C" w:rsidRDefault="00C51CFD" w:rsidP="00C51CFD">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xml:space="preserve">﴿ وَيَسْئَلُونَكَ عَنِ الرُّوحِ قُلِ الرُّوحُ مِنْ أَمْرِ رَبِّي ﴾ </w:t>
      </w:r>
      <w:r w:rsidRPr="00D3621C">
        <w:rPr>
          <w:rFonts w:ascii="Arabic Typesetting" w:hAnsi="Arabic Typesetting" w:cs="Arabic Typesetting"/>
          <w:color w:val="auto"/>
          <w:sz w:val="28"/>
          <w:szCs w:val="28"/>
          <w:rtl/>
          <w:lang w:val="fr-FR" w:eastAsia="en-US"/>
        </w:rPr>
        <w:t>[الإسراء:85].</w:t>
      </w:r>
    </w:p>
    <w:p w:rsidR="00C51CFD" w:rsidRPr="00D3621C" w:rsidRDefault="00C51CFD" w:rsidP="00C51CFD">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إذا تأملت هذه الآيات أحسست أن نزولها ارتبط بسؤال، ومن الآيات ما ارتبط نزوله بحادثة وقعت أو مشكلة ظهرت في المجتمع الإسلامي وقت التنزيل.</w:t>
      </w:r>
    </w:p>
    <w:p w:rsidR="00C51CFD" w:rsidRPr="00D3621C"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xml:space="preserve">وقد عبّر السلف من الصحابة والتابعين، ومن جاء بعدهم من العلماء والدارسين، عن ذلك السؤال وتلك الواقعة أو المشكلة التي تنزل عقبها الآية أو الآيات بعبارة (سبب النزول) فيقولون: نزلت هذه الآية بسبب كذا، وهذه الأسباب في الواقع « ما هي إلا مناسبات لا أسباب حقيقية، وإن سمّيت أسبابا على طريق التسامح والتجوز » </w:t>
      </w:r>
      <w:r w:rsidRPr="00D3621C">
        <w:rPr>
          <w:rFonts w:ascii="Arabic Typesetting" w:hAnsi="Arabic Typesetting" w:cs="Arabic Typesetting"/>
          <w:color w:val="auto"/>
          <w:sz w:val="28"/>
          <w:szCs w:val="28"/>
          <w:rtl/>
          <w:lang w:val="fr-FR" w:eastAsia="en-US"/>
        </w:rPr>
        <w:t>(محمد الفاضل بن عاشور، التفسير ورجاله)</w:t>
      </w:r>
      <w:r w:rsidRPr="00D3621C">
        <w:rPr>
          <w:rFonts w:ascii="Arabic Typesetting" w:hAnsi="Arabic Typesetting" w:cs="Arabic Typesetting"/>
          <w:color w:val="auto"/>
          <w:rtl/>
          <w:lang w:val="fr-FR" w:eastAsia="en-US"/>
        </w:rPr>
        <w:t>.</w:t>
      </w:r>
    </w:p>
    <w:p w:rsidR="00C51CFD"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xml:space="preserve">وفي تعريف سبب النزول: </w:t>
      </w:r>
      <w:r>
        <w:rPr>
          <w:rFonts w:ascii="Arabic Typesetting" w:hAnsi="Arabic Typesetting" w:cs="Arabic Typesetting"/>
          <w:color w:val="auto"/>
          <w:rtl/>
          <w:lang w:val="fr-FR" w:eastAsia="en-US"/>
        </w:rPr>
        <w:t>«</w:t>
      </w:r>
      <w:r>
        <w:rPr>
          <w:rFonts w:ascii="Arabic Typesetting" w:hAnsi="Arabic Typesetting" w:cs="Arabic Typesetting" w:hint="cs"/>
          <w:color w:val="auto"/>
          <w:rtl/>
          <w:lang w:val="fr-FR" w:eastAsia="en-US"/>
        </w:rPr>
        <w:t xml:space="preserve"> </w:t>
      </w:r>
      <w:r w:rsidRPr="00D3621C">
        <w:rPr>
          <w:rFonts w:ascii="Arabic Typesetting" w:hAnsi="Arabic Typesetting" w:cs="Arabic Typesetting"/>
          <w:color w:val="auto"/>
          <w:rtl/>
          <w:lang w:val="fr-FR" w:eastAsia="en-US"/>
        </w:rPr>
        <w:t>ما نزلت الآية أو الآيات</w:t>
      </w:r>
      <w:r>
        <w:rPr>
          <w:rFonts w:ascii="Arabic Typesetting" w:hAnsi="Arabic Typesetting" w:cs="Arabic Typesetting" w:hint="cs"/>
          <w:color w:val="auto"/>
          <w:rtl/>
          <w:lang w:val="fr-FR" w:eastAsia="en-US"/>
        </w:rPr>
        <w:t xml:space="preserve"> متحدثة عنه أو مبينة لحكمه</w:t>
      </w:r>
      <w:r w:rsidRPr="00D3621C">
        <w:rPr>
          <w:rFonts w:ascii="Arabic Typesetting" w:hAnsi="Arabic Typesetting" w:cs="Arabic Typesetting"/>
          <w:color w:val="auto"/>
          <w:rtl/>
          <w:lang w:val="fr-FR" w:eastAsia="en-US"/>
        </w:rPr>
        <w:t xml:space="preserve"> أيام وقوعه</w:t>
      </w:r>
      <w:r>
        <w:rPr>
          <w:rFonts w:ascii="Arabic Typesetting" w:hAnsi="Arabic Typesetting" w:cs="Arabic Typesetting" w:hint="cs"/>
          <w:color w:val="auto"/>
          <w:rtl/>
          <w:lang w:val="fr-FR" w:eastAsia="en-US"/>
        </w:rPr>
        <w:t xml:space="preserve"> </w:t>
      </w:r>
      <w:r>
        <w:rPr>
          <w:rFonts w:ascii="Arabic Typesetting" w:hAnsi="Arabic Typesetting" w:cs="Arabic Typesetting"/>
          <w:color w:val="auto"/>
          <w:rtl/>
          <w:lang w:val="fr-FR" w:eastAsia="en-US"/>
        </w:rPr>
        <w:t>»</w:t>
      </w:r>
      <w:r>
        <w:rPr>
          <w:rStyle w:val="Appelnotedebasdep"/>
          <w:rFonts w:ascii="Arabic Typesetting" w:hAnsi="Arabic Typesetting"/>
          <w:color w:val="auto"/>
          <w:rtl/>
          <w:lang w:val="fr-FR" w:eastAsia="en-US"/>
        </w:rPr>
        <w:footnoteReference w:id="3"/>
      </w:r>
      <w:r w:rsidRPr="00D3621C">
        <w:rPr>
          <w:rFonts w:ascii="Arabic Typesetting" w:hAnsi="Arabic Typesetting" w:cs="Arabic Typesetting"/>
          <w:color w:val="auto"/>
          <w:rtl/>
          <w:lang w:val="fr-FR" w:eastAsia="en-US"/>
        </w:rPr>
        <w:t xml:space="preserve">، </w:t>
      </w:r>
      <w:r w:rsidRPr="00E00397">
        <w:rPr>
          <w:rFonts w:ascii="Arabic Typesetting" w:hAnsi="Arabic Typesetting" w:cs="Arabic Typesetting" w:hint="cs"/>
          <w:color w:val="auto"/>
          <w:highlight w:val="lightGray"/>
          <w:rtl/>
          <w:lang w:val="fr-FR" w:eastAsia="en-US"/>
        </w:rPr>
        <w:t>فأسباب النزول مقتصرة على الأحداث التي وقعت في الزمن النبوي</w:t>
      </w:r>
      <w:r w:rsidRPr="00E00397">
        <w:rPr>
          <w:rFonts w:ascii="Arabic Typesetting" w:hAnsi="Arabic Typesetting" w:cs="Arabic Typesetting"/>
          <w:color w:val="auto"/>
          <w:highlight w:val="lightGray"/>
          <w:rtl/>
          <w:lang w:val="fr-FR" w:eastAsia="en-US"/>
        </w:rPr>
        <w:t xml:space="preserve"> </w:t>
      </w:r>
      <w:r w:rsidRPr="00E00397">
        <w:rPr>
          <w:rFonts w:ascii="Arabic Typesetting" w:hAnsi="Arabic Typesetting" w:cs="Arabic Typesetting" w:hint="cs"/>
          <w:color w:val="auto"/>
          <w:highlight w:val="lightGray"/>
          <w:rtl/>
          <w:lang w:val="fr-FR" w:eastAsia="en-US"/>
        </w:rPr>
        <w:t xml:space="preserve">ونزل القرآن مجيبا عنها أو موضحا للحكم فيها، أما الأحداث التي وقعت قبل تنزل القرآن مثل </w:t>
      </w:r>
      <w:r>
        <w:rPr>
          <w:rFonts w:ascii="Arabic Typesetting" w:hAnsi="Arabic Typesetting" w:cs="Arabic Typesetting" w:hint="cs"/>
          <w:color w:val="auto"/>
          <w:highlight w:val="lightGray"/>
          <w:rtl/>
          <w:lang w:val="fr-FR" w:eastAsia="en-US"/>
        </w:rPr>
        <w:t>قصة أصحاب الكهف و</w:t>
      </w:r>
      <w:r w:rsidRPr="00E00397">
        <w:rPr>
          <w:rFonts w:ascii="Arabic Typesetting" w:hAnsi="Arabic Typesetting" w:cs="Arabic Typesetting" w:hint="cs"/>
          <w:color w:val="auto"/>
          <w:highlight w:val="lightGray"/>
          <w:rtl/>
          <w:lang w:val="fr-FR" w:eastAsia="en-US"/>
        </w:rPr>
        <w:t>حادثة الفيل فلا تعد من أسباب النزول بالمعنى الاصطلاحي، وإن أطلق عليها سبب نزول فمن باب التجوز.</w:t>
      </w:r>
    </w:p>
    <w:p w:rsidR="00C51CFD" w:rsidRPr="00D3621C"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وقد قسم العلماء آيات القرآن بالنسبة إلى ارتباط نزولها بسؤال أو حادثة على قسمين:</w:t>
      </w:r>
    </w:p>
    <w:p w:rsidR="00C51CFD" w:rsidRPr="00D3621C" w:rsidRDefault="00C51CFD" w:rsidP="00C51CFD">
      <w:pPr>
        <w:widowControl/>
        <w:autoSpaceDE w:val="0"/>
        <w:autoSpaceDN w:val="0"/>
        <w:adjustRightInd w:val="0"/>
        <w:ind w:firstLine="0"/>
        <w:jc w:val="left"/>
        <w:rPr>
          <w:rFonts w:ascii="Arabic Typesetting" w:hAnsi="Arabic Typesetting" w:cs="Arabic Typesetting"/>
          <w:color w:val="auto"/>
          <w:rtl/>
          <w:lang w:val="fr-FR" w:eastAsia="en-US"/>
        </w:rPr>
      </w:pPr>
      <w:r>
        <w:rPr>
          <w:rFonts w:ascii="Arabic Typesetting" w:hAnsi="Arabic Typesetting" w:cs="Arabic Typesetting"/>
          <w:color w:val="auto"/>
          <w:rtl/>
          <w:lang w:val="fr-FR" w:eastAsia="en-US"/>
        </w:rPr>
        <w:t>1 - قسم نزل ابتداء</w:t>
      </w:r>
      <w:r>
        <w:rPr>
          <w:rFonts w:ascii="Arabic Typesetting" w:hAnsi="Arabic Typesetting" w:cs="Arabic Typesetting" w:hint="cs"/>
          <w:color w:val="auto"/>
          <w:rtl/>
          <w:lang w:val="fr-FR" w:eastAsia="en-US"/>
        </w:rPr>
        <w:t xml:space="preserve">: </w:t>
      </w:r>
      <w:r w:rsidRPr="00245A43">
        <w:rPr>
          <w:rFonts w:ascii="Arabic Typesetting" w:hAnsi="Arabic Typesetting" w:cs="Arabic Typesetting" w:hint="cs"/>
          <w:color w:val="auto"/>
          <w:highlight w:val="lightGray"/>
          <w:rtl/>
          <w:lang w:val="fr-FR" w:eastAsia="en-US"/>
        </w:rPr>
        <w:t>دون ارتباط بسبب نزول، وهذا القسم هو الأكثر.</w:t>
      </w:r>
    </w:p>
    <w:p w:rsidR="00C51CFD" w:rsidRPr="00D3621C" w:rsidRDefault="00C51CFD" w:rsidP="00C51CFD">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xml:space="preserve">2 - قسم نزل عقب حادثة أو سؤال </w:t>
      </w:r>
      <w:r w:rsidRPr="00D3621C">
        <w:rPr>
          <w:rFonts w:ascii="Arabic Typesetting" w:hAnsi="Arabic Typesetting" w:cs="Arabic Typesetting"/>
          <w:color w:val="auto"/>
          <w:sz w:val="28"/>
          <w:szCs w:val="28"/>
          <w:rtl/>
          <w:lang w:val="fr-FR" w:eastAsia="en-US"/>
        </w:rPr>
        <w:t>(السيوطي، الإتقان)</w:t>
      </w:r>
      <w:r w:rsidRPr="00D3621C">
        <w:rPr>
          <w:rFonts w:ascii="Arabic Typesetting" w:hAnsi="Arabic Typesetting" w:cs="Arabic Typesetting"/>
          <w:color w:val="auto"/>
          <w:rtl/>
          <w:lang w:val="fr-FR" w:eastAsia="en-US"/>
        </w:rPr>
        <w:t>.</w:t>
      </w:r>
    </w:p>
    <w:p w:rsidR="00C51CFD"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lastRenderedPageBreak/>
        <w:t>ويلاحظ أن القسم الأول الذي نزل ابتداء تتحدث أكثر آياته عن أمور العقيدة ووصف مشاهد القيامة، ووصف الجنة ونعيمها والنار وأهوالها، وكذلك تتحدث عن أخبار الأمم الغابرة وما حلّ بأهلها. أما القسم الثاني، وهو ما نزل مرتبطا بأسباب ووقائع، فمعظم آياته مما يتعلق بالتشريع والأحكام والآداب.</w:t>
      </w:r>
    </w:p>
    <w:p w:rsidR="00C51CFD" w:rsidRPr="00D3621C"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4F5B6A">
        <w:rPr>
          <w:rFonts w:ascii="Arabic Typesetting" w:hAnsi="Arabic Typesetting" w:cs="Arabic Typesetting" w:hint="cs"/>
          <w:color w:val="auto"/>
          <w:highlight w:val="lightGray"/>
          <w:rtl/>
          <w:lang w:val="fr-FR" w:eastAsia="en-US"/>
        </w:rPr>
        <w:t>أما عن عدد الآيات التي ورد فيها سبب نزول فيعسر ضبطها لأنها متوقفة على صحة الرواية والكثير من الروايات وقع فيها الخلاف بين المحدثين بين التصحيح والتضعيف،</w:t>
      </w:r>
      <w:r>
        <w:rPr>
          <w:rFonts w:ascii="Arabic Typesetting" w:hAnsi="Arabic Typesetting" w:cs="Arabic Typesetting" w:hint="cs"/>
          <w:color w:val="auto"/>
          <w:rtl/>
          <w:lang w:val="fr-FR" w:eastAsia="en-US"/>
        </w:rPr>
        <w:t xml:space="preserve"> ونجد في كتاب "أسباب النزول" للإمام الواحدي أنه جمع 858 آية ما بين سبب نزول صريح وغير صريح، أما السيوطي في كتابه "لباب النقول" فقد أورد أسباب النزول في 945 آية، ويلاحظ أيضا أن الغالب في الآيات والسور التي فيها سبب نزول أنها من القرآن المدني</w:t>
      </w:r>
      <w:r>
        <w:rPr>
          <w:rStyle w:val="Appelnotedebasdep"/>
          <w:rFonts w:ascii="Arabic Typesetting" w:hAnsi="Arabic Typesetting"/>
          <w:color w:val="auto"/>
          <w:rtl/>
          <w:lang w:val="fr-FR" w:eastAsia="en-US"/>
        </w:rPr>
        <w:footnoteReference w:id="4"/>
      </w:r>
      <w:r>
        <w:rPr>
          <w:rFonts w:ascii="Arabic Typesetting" w:hAnsi="Arabic Typesetting" w:cs="Arabic Typesetting" w:hint="cs"/>
          <w:color w:val="auto"/>
          <w:rtl/>
          <w:lang w:val="fr-FR" w:eastAsia="en-US"/>
        </w:rPr>
        <w:t>.</w:t>
      </w:r>
    </w:p>
    <w:p w:rsidR="00C51CFD" w:rsidRPr="004F5B6A" w:rsidRDefault="00C51CFD" w:rsidP="00C51CFD">
      <w:pPr>
        <w:widowControl/>
        <w:autoSpaceDE w:val="0"/>
        <w:autoSpaceDN w:val="0"/>
        <w:adjustRightInd w:val="0"/>
        <w:spacing w:before="240"/>
        <w:ind w:firstLine="720"/>
        <w:jc w:val="left"/>
        <w:rPr>
          <w:rFonts w:ascii="Arabic Typesetting" w:hAnsi="Arabic Typesetting" w:cs="Arabic Typesetting"/>
          <w:color w:val="auto"/>
          <w:sz w:val="28"/>
          <w:szCs w:val="28"/>
          <w:rtl/>
          <w:lang w:val="fr-FR" w:eastAsia="en-US"/>
        </w:rPr>
      </w:pPr>
      <w:r w:rsidRPr="00D3621C">
        <w:rPr>
          <w:rFonts w:ascii="Arabic Typesetting" w:hAnsi="Arabic Typesetting" w:cs="Arabic Typesetting"/>
          <w:color w:val="auto"/>
          <w:rtl/>
          <w:lang w:val="fr-FR" w:eastAsia="en-US"/>
        </w:rPr>
        <w:t xml:space="preserve">وفي ارتباط نزول الآيات بمناسبة معينة، وهو ما يسمّى بأسباب النزول- حكمة تشريعية وتربوية عظيمة، تجعل من الحكم الذي تتضمنه تلك الآيات تجربة واقعية، وتطبيقا عمليا في المجتمع، يتم تحت نظر النبي صلى الله عليه وسلم وتوجيهه، ويدرك حكمة التشريع الذي تتضمنه تلك الآيات كل من كان شاهدا وقت نزولها، وكل من وقف على تلك المناسبة وعرف قصتها، فنزول الحكم وقت الحاجة إليه يكون أبعد أثرا في نفوس المخاطبين، ويكونون أكثر استجابة له </w:t>
      </w:r>
      <w:r w:rsidRPr="00D3621C">
        <w:rPr>
          <w:rFonts w:ascii="Arabic Typesetting" w:hAnsi="Arabic Typesetting" w:cs="Arabic Typesetting"/>
          <w:color w:val="auto"/>
          <w:sz w:val="28"/>
          <w:szCs w:val="28"/>
          <w:rtl/>
          <w:lang w:val="fr-FR" w:eastAsia="en-US"/>
        </w:rPr>
        <w:t>(مناع القطان، مباحث في علوم القرآن).</w:t>
      </w:r>
    </w:p>
    <w:p w:rsidR="00C51CFD" w:rsidRPr="00D3621C" w:rsidRDefault="00C51CFD" w:rsidP="00C51CFD">
      <w:pPr>
        <w:widowControl/>
        <w:autoSpaceDE w:val="0"/>
        <w:autoSpaceDN w:val="0"/>
        <w:adjustRightInd w:val="0"/>
        <w:spacing w:before="24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xml:space="preserve">2- </w:t>
      </w:r>
      <w:r w:rsidRPr="00D3621C">
        <w:rPr>
          <w:rFonts w:ascii="Arabic Typesetting" w:hAnsi="Arabic Typesetting" w:cs="Arabic Typesetting"/>
          <w:b/>
          <w:bCs/>
          <w:color w:val="auto"/>
          <w:rtl/>
          <w:lang w:val="fr-FR" w:eastAsia="en-US"/>
        </w:rPr>
        <w:t>الطريق إلى معرفة أسباب النزول</w:t>
      </w:r>
      <w:r w:rsidRPr="00D3621C">
        <w:rPr>
          <w:rFonts w:ascii="Arabic Typesetting" w:hAnsi="Arabic Typesetting" w:cs="Arabic Typesetting"/>
          <w:color w:val="auto"/>
          <w:rtl/>
          <w:lang w:val="fr-FR" w:eastAsia="en-US"/>
        </w:rPr>
        <w:t>:</w:t>
      </w:r>
    </w:p>
    <w:p w:rsidR="00C51CFD" w:rsidRPr="00D3621C"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اعتنى المفسرون والمؤلفون في علوم القرآن ببيان أسباب النزول كثيرا، لكن تحديد سبب النزول ليس فيه مجال للرأي والاجتهاد، وإنما سبيله سبيل الأحداث التأريخية، ومن ثم فإن لمعرفة سبب النزول طريق واحد هو النقل الصحيح عن الصحابة الذين عاصروا تنزيل القرآن وشاهدوا الأحداث التي وقعت حينذاك، يقول الواحدي: « ولا يحلّ القول في أسباب نزول الكتاب إلا بالرواية والسماع ممن شاهدوا التنزيل ووقفوا على الأسباب، وبحثوا في علمها، وجدّوا في الطِّلاب» (</w:t>
      </w:r>
      <w:r w:rsidRPr="00D3621C">
        <w:rPr>
          <w:rFonts w:ascii="Arabic Typesetting" w:hAnsi="Arabic Typesetting" w:cs="Arabic Typesetting"/>
          <w:color w:val="auto"/>
          <w:sz w:val="28"/>
          <w:szCs w:val="28"/>
          <w:rtl/>
          <w:lang w:val="fr-FR" w:eastAsia="en-US"/>
        </w:rPr>
        <w:t>أسباب نزول القرآن، الواحدي).</w:t>
      </w:r>
    </w:p>
    <w:p w:rsidR="00C51CFD" w:rsidRPr="00D3621C"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xml:space="preserve">وقد جعل العلماء قول الصحابي في سبب النزول حجة ثابتة بمنزلة الحديث المرفوع إلى النبي صلى الله عليه وسلم، قال الحاكم النيسابوري: « فإن الصحابي الذي شهد الوحي والتنزيل فأخبر عن آية من القرآن أنها نزلت في كذا وكذا فإنه حديث مسند » </w:t>
      </w:r>
      <w:r w:rsidRPr="00D3621C">
        <w:rPr>
          <w:rFonts w:ascii="Arabic Typesetting" w:hAnsi="Arabic Typesetting" w:cs="Arabic Typesetting"/>
          <w:color w:val="auto"/>
          <w:sz w:val="28"/>
          <w:szCs w:val="28"/>
          <w:rtl/>
          <w:lang w:val="fr-FR" w:eastAsia="en-US"/>
        </w:rPr>
        <w:t>(معرفة علوم الحديث، الحاكم).</w:t>
      </w:r>
    </w:p>
    <w:p w:rsidR="00C51CFD" w:rsidRPr="00D3621C"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وكان الصحابة، رضي الله عنهم، يذكرون أسباب النزول وينقلونها إلى التابعين، كما روى البخاري عن نافع مولى عبد الله بن عمر أنه قال: «كان ابن عمر، رضي الله عنهما، إذا قرأ القرآن لم يتكلم حتى يفرغ منه، فأخذت عليه يوما (أي: أمسكت المصحف، وهو يقرأ عن ظهر قلب) فقرأ سورة البقرة حتى انتهى إلى مكان قال: تدري فيم أنزلت؟ قلت: لا. قال: أنزلت في كذا وكذا، ثم مضى».</w:t>
      </w:r>
    </w:p>
    <w:p w:rsidR="00C51CFD" w:rsidRPr="00D3621C"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والروايات المنقولة في سبب النزول بعضها يصرّح بأن الآية نزلت بسبب كذا، وبعضها يأتي بصيغة أن هذه الآية نزلت في كذا، أي يراد بها كذا:</w:t>
      </w:r>
    </w:p>
    <w:p w:rsidR="00C51CFD" w:rsidRPr="00D3621C" w:rsidRDefault="00C51CFD" w:rsidP="00C51CFD">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lastRenderedPageBreak/>
        <w:t xml:space="preserve">- فمن الأول ما رواه البخاري عن عبد الله بن مسعود، رضي الله عنه، أنه قال: « بينا أنا مع النبي صلى الله عليه وسلم في حرث، وهو متّكئ على عسيب، إذ مرّ اليهود، فقال بعضهم لبعض: سلوه عن الروح، فسألوه، فأمسك النبي صلى الله عليه وسلم فلم يردّ عليهم شيئا، فعلمت أنه يوحى إليه، فقمت مقامي، فلما نزل الوحي قال: ﴿ وَيَسْئَلُونَكَ عَنِ الرُّوحِ قُلِ الرُّوحُ مِنْ أَمْرِ رَبِّي وَما أُوتِيتُمْ مِنَ الْعِلْمِ إِلَّا قَلِيلًا ﴾ </w:t>
      </w:r>
      <w:r w:rsidRPr="00D3621C">
        <w:rPr>
          <w:rFonts w:ascii="Arabic Typesetting" w:hAnsi="Arabic Typesetting" w:cs="Arabic Typesetting"/>
          <w:color w:val="auto"/>
          <w:sz w:val="28"/>
          <w:szCs w:val="28"/>
          <w:rtl/>
          <w:lang w:val="fr-FR" w:eastAsia="en-US"/>
        </w:rPr>
        <w:t>[الإسراء85]»</w:t>
      </w:r>
      <w:r w:rsidRPr="00D3621C">
        <w:rPr>
          <w:rFonts w:ascii="Arabic Typesetting" w:hAnsi="Arabic Typesetting" w:cs="Arabic Typesetting"/>
          <w:color w:val="auto"/>
          <w:rtl/>
          <w:lang w:val="fr-FR" w:eastAsia="en-US"/>
        </w:rPr>
        <w:t xml:space="preserve"> فهذا بيان صريح لسبب النزول.</w:t>
      </w:r>
    </w:p>
    <w:p w:rsidR="00C51CFD" w:rsidRPr="00D3621C"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ومن الثاني قول مجاهد في الآيات التي في أول سورة البقرة: «أربع آيات من أول هذه السورة نزلت في المؤمنين، وآيتان بعدها نزلت في الكافرين، وثلاث عشرة بعدها نزلت في المنافقين»، فهذا ليس بيانا لسبب النزول، وإنما هو توضيح للمعنى. فهو يريد أنها نزلت في نعت المؤمنين والكافرين والمنافقين. ومن ذلك أيضا قول الواحدي في حديثه عن سورة الفيل: «نزلت في قصة أصحاب الفيل، وقصدهم تخريب الكعبة، وما فعل الله بهم من إهلاكهم وصرفهم عن البيت، وهي معروفة» (</w:t>
      </w:r>
      <w:r w:rsidRPr="00D3621C">
        <w:rPr>
          <w:rFonts w:ascii="Arabic Typesetting" w:hAnsi="Arabic Typesetting" w:cs="Arabic Typesetting"/>
          <w:color w:val="auto"/>
          <w:sz w:val="28"/>
          <w:szCs w:val="28"/>
          <w:rtl/>
          <w:lang w:val="fr-FR" w:eastAsia="en-US"/>
        </w:rPr>
        <w:t>أسباب نزول القرآن، الواحدي)</w:t>
      </w:r>
      <w:r w:rsidRPr="00D3621C">
        <w:rPr>
          <w:rFonts w:ascii="Arabic Typesetting" w:hAnsi="Arabic Typesetting" w:cs="Arabic Typesetting"/>
          <w:color w:val="auto"/>
          <w:rtl/>
          <w:lang w:val="fr-FR" w:eastAsia="en-US"/>
        </w:rPr>
        <w:t>. فهذا ليس بيانا لسبب النزول.</w:t>
      </w:r>
    </w:p>
    <w:p w:rsidR="00C51CFD" w:rsidRPr="00D3621C" w:rsidRDefault="00C51CFD" w:rsidP="00C51CFD">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xml:space="preserve">وقد علّق السيوطي على قول الواحدي هذا بقوله: « والذي يتحرر في سبب النزول أنه ما نزلت الآية أيام وقوعه، ليخرج ما ذكره الواحدي في سورة الفيل من أن سببها قصة قدوم الحبشة، فإن ذلك ليس من أسباب النزول في شيء، بل هو من باب الإخبار عن الوقائع الماضية» </w:t>
      </w:r>
      <w:r w:rsidRPr="00D3621C">
        <w:rPr>
          <w:rFonts w:ascii="Arabic Typesetting" w:hAnsi="Arabic Typesetting" w:cs="Arabic Typesetting"/>
          <w:color w:val="auto"/>
          <w:sz w:val="28"/>
          <w:szCs w:val="28"/>
          <w:rtl/>
          <w:lang w:val="fr-FR" w:eastAsia="en-US"/>
        </w:rPr>
        <w:t>(الإتقان، السيوطي).</w:t>
      </w:r>
    </w:p>
    <w:p w:rsidR="00C51CFD" w:rsidRPr="00D3621C" w:rsidRDefault="00C51CFD" w:rsidP="00C51CFD">
      <w:pPr>
        <w:widowControl/>
        <w:autoSpaceDE w:val="0"/>
        <w:autoSpaceDN w:val="0"/>
        <w:adjustRightInd w:val="0"/>
        <w:spacing w:before="240"/>
        <w:ind w:firstLine="720"/>
        <w:jc w:val="left"/>
        <w:rPr>
          <w:rFonts w:ascii="Arabic Typesetting" w:hAnsi="Arabic Typesetting" w:cs="Arabic Typesetting"/>
          <w:color w:val="auto"/>
          <w:rtl/>
          <w:lang w:val="fr-FR" w:eastAsia="en-US"/>
        </w:rPr>
      </w:pPr>
      <w:r w:rsidRPr="00D3621C">
        <w:rPr>
          <w:rFonts w:ascii="Arabic Typesetting" w:hAnsi="Arabic Typesetting" w:cs="Arabic Typesetting"/>
          <w:color w:val="auto"/>
          <w:rtl/>
          <w:lang w:val="fr-FR" w:eastAsia="en-US"/>
        </w:rPr>
        <w:t xml:space="preserve">وقد جمع العلماء الروايات المنقولة في أسباب النزول من كتب التفسير وكتب الحديث في مؤلفات مستقلة، وأول من صنّف في هذا الموضوع علي بن عبد الله بن المديني المتوفى سنة 234 هـ، وأشهرها كتاب (أسباب نزول القرآن) لعلي بن أحمد الواحدي المتوفى سنة 468 هـ، وأجمعها كتاب (لباب النقول في أسباب النزول) لجلال الدين السيوطي المتوفى سنة 911 هـ </w:t>
      </w:r>
      <w:r w:rsidRPr="00D3621C">
        <w:rPr>
          <w:rFonts w:ascii="Arabic Typesetting" w:hAnsi="Arabic Typesetting" w:cs="Arabic Typesetting"/>
          <w:color w:val="auto"/>
          <w:sz w:val="28"/>
          <w:szCs w:val="28"/>
          <w:rtl/>
          <w:lang w:val="fr-FR" w:eastAsia="en-US"/>
        </w:rPr>
        <w:t>(الإتقان، السيوطي).</w:t>
      </w:r>
    </w:p>
    <w:p w:rsidR="00C9224F" w:rsidRDefault="00C9224F"/>
    <w:sectPr w:rsidR="00C9224F" w:rsidSect="00C9224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79D4" w:rsidRDefault="00A879D4" w:rsidP="00C51CFD">
      <w:r>
        <w:separator/>
      </w:r>
    </w:p>
  </w:endnote>
  <w:endnote w:type="continuationSeparator" w:id="1">
    <w:p w:rsidR="00A879D4" w:rsidRDefault="00A879D4" w:rsidP="00C51C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79D4" w:rsidRDefault="00A879D4" w:rsidP="00C51CFD">
      <w:r>
        <w:separator/>
      </w:r>
    </w:p>
  </w:footnote>
  <w:footnote w:type="continuationSeparator" w:id="1">
    <w:p w:rsidR="00A879D4" w:rsidRDefault="00A879D4" w:rsidP="00C51CFD">
      <w:r>
        <w:continuationSeparator/>
      </w:r>
    </w:p>
  </w:footnote>
  <w:footnote w:id="2">
    <w:p w:rsidR="00C51CFD" w:rsidRDefault="00C51CFD" w:rsidP="00C51CFD">
      <w:pPr>
        <w:pStyle w:val="Notedebasdepage"/>
        <w:rPr>
          <w:lang w:bidi="ar-DZ"/>
        </w:rPr>
      </w:pPr>
      <w:r>
        <w:rPr>
          <w:rStyle w:val="Appelnotedebasdep"/>
        </w:rPr>
        <w:footnoteRef/>
      </w:r>
      <w:r>
        <w:rPr>
          <w:rFonts w:hint="cs"/>
          <w:rtl/>
        </w:rPr>
        <w:t xml:space="preserve">- الأصل من كتاب: </w:t>
      </w:r>
      <w:r w:rsidRPr="007A3751">
        <w:rPr>
          <w:rFonts w:ascii="Arabic Typesetting" w:hAnsi="Arabic Typesetting" w:cs="Arabic Typesetting"/>
          <w:rtl/>
        </w:rPr>
        <w:t>غانم قدروي، محاضرات في علوم القرآن، ص:35.</w:t>
      </w:r>
    </w:p>
  </w:footnote>
  <w:footnote w:id="3">
    <w:p w:rsidR="00C51CFD" w:rsidRDefault="00C51CFD" w:rsidP="00C51CFD">
      <w:pPr>
        <w:pStyle w:val="Notedebasdepage"/>
      </w:pPr>
      <w:r>
        <w:rPr>
          <w:rStyle w:val="Appelnotedebasdep"/>
        </w:rPr>
        <w:footnoteRef/>
      </w:r>
      <w:r>
        <w:rPr>
          <w:rFonts w:hint="cs"/>
          <w:rtl/>
        </w:rPr>
        <w:t>- عبد العظيم الزرقاني، مناهل العرفان، ؟؟</w:t>
      </w:r>
    </w:p>
  </w:footnote>
  <w:footnote w:id="4">
    <w:p w:rsidR="00C51CFD" w:rsidRDefault="00C51CFD" w:rsidP="00C51CFD">
      <w:pPr>
        <w:pStyle w:val="Notedebasdepage"/>
        <w:rPr>
          <w:lang w:bidi="ar-DZ"/>
        </w:rPr>
      </w:pPr>
      <w:r>
        <w:rPr>
          <w:rStyle w:val="Appelnotedebasdep"/>
        </w:rPr>
        <w:footnoteRef/>
      </w:r>
      <w:r>
        <w:rPr>
          <w:rFonts w:hint="cs"/>
          <w:rtl/>
        </w:rPr>
        <w:t>- ينظر: فضل حسن عباس، إتقان البرهان في علوم القرآن، ج1، ص309.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F468B"/>
    <w:multiLevelType w:val="hybridMultilevel"/>
    <w:tmpl w:val="3F8C567A"/>
    <w:lvl w:ilvl="0" w:tplc="4024221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C51CFD"/>
    <w:rsid w:val="00A879D4"/>
    <w:rsid w:val="00C51CFD"/>
    <w:rsid w:val="00C9224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CFD"/>
    <w:pPr>
      <w:widowControl w:val="0"/>
      <w:bidi/>
      <w:spacing w:after="0" w:line="240" w:lineRule="auto"/>
      <w:ind w:firstLine="454"/>
      <w:jc w:val="both"/>
    </w:pPr>
    <w:rPr>
      <w:rFonts w:ascii="Times New Roman" w:eastAsia="Times New Roman" w:hAnsi="Times New Roman" w:cs="Traditional Arabic"/>
      <w:color w:val="000000"/>
      <w:sz w:val="36"/>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C51CFD"/>
    <w:rPr>
      <w:rFonts w:cs="Traditional Arabic"/>
      <w:vertAlign w:val="superscript"/>
    </w:rPr>
  </w:style>
  <w:style w:type="paragraph" w:styleId="Notedebasdepage">
    <w:name w:val="footnote text"/>
    <w:basedOn w:val="Normal"/>
    <w:link w:val="NotedebasdepageCar"/>
    <w:uiPriority w:val="99"/>
    <w:rsid w:val="00C51CFD"/>
    <w:pPr>
      <w:ind w:left="454" w:hanging="454"/>
    </w:pPr>
    <w:rPr>
      <w:sz w:val="28"/>
      <w:szCs w:val="28"/>
    </w:rPr>
  </w:style>
  <w:style w:type="character" w:customStyle="1" w:styleId="NotedebasdepageCar">
    <w:name w:val="Note de bas de page Car"/>
    <w:basedOn w:val="Policepardfaut"/>
    <w:link w:val="Notedebasdepage"/>
    <w:uiPriority w:val="99"/>
    <w:rsid w:val="00C51CFD"/>
    <w:rPr>
      <w:rFonts w:ascii="Times New Roman" w:eastAsia="Times New Roman" w:hAnsi="Times New Roman" w:cs="Traditional Arabic"/>
      <w:color w:val="000000"/>
      <w:sz w:val="28"/>
      <w:szCs w:val="28"/>
      <w:lang w:val="en-US" w:eastAsia="ar-SA"/>
    </w:rPr>
  </w:style>
  <w:style w:type="paragraph" w:styleId="Paragraphedeliste">
    <w:name w:val="List Paragraph"/>
    <w:basedOn w:val="Normal"/>
    <w:uiPriority w:val="34"/>
    <w:qFormat/>
    <w:rsid w:val="00C51CF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925</Words>
  <Characters>5088</Characters>
  <Application>Microsoft Office Word</Application>
  <DocSecurity>0</DocSecurity>
  <Lines>42</Lines>
  <Paragraphs>12</Paragraphs>
  <ScaleCrop>false</ScaleCrop>
  <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2025-03-17T23:59:00Z</dcterms:created>
  <dcterms:modified xsi:type="dcterms:W3CDTF">2025-03-18T00:00:00Z</dcterms:modified>
</cp:coreProperties>
</file>