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ABB" w:rsidRDefault="00486ABB" w:rsidP="00486ABB">
      <w:pPr>
        <w:widowControl/>
        <w:autoSpaceDE w:val="0"/>
        <w:autoSpaceDN w:val="0"/>
        <w:adjustRightInd w:val="0"/>
        <w:spacing w:before="240" w:after="240"/>
        <w:ind w:firstLine="0"/>
        <w:jc w:val="left"/>
        <w:rPr>
          <w:rFonts w:ascii="Arabic Typesetting" w:hAnsi="Arabic Typesetting" w:cs="Arabic Typesetting"/>
          <w:color w:val="auto"/>
          <w:rtl/>
          <w:lang w:val="fr-FR" w:eastAsia="en-US"/>
        </w:rPr>
      </w:pPr>
      <w:r w:rsidRPr="00D3621C">
        <w:rPr>
          <w:rFonts w:ascii="Arabic Typesetting" w:hAnsi="Arabic Typesetting" w:cs="Arabic Typesetting"/>
          <w:b/>
          <w:bCs/>
          <w:color w:val="auto"/>
          <w:rtl/>
          <w:lang w:val="fr-FR" w:eastAsia="en-US"/>
        </w:rPr>
        <w:t>أهمية معرفة أسباب النزول</w:t>
      </w:r>
      <w:r w:rsidRPr="00D3621C">
        <w:rPr>
          <w:rFonts w:ascii="Arabic Typesetting" w:hAnsi="Arabic Typesetting" w:cs="Arabic Typesetting"/>
          <w:color w:val="auto"/>
          <w:rtl/>
          <w:lang w:val="fr-FR" w:eastAsia="en-US"/>
        </w:rPr>
        <w:t>:</w:t>
      </w:r>
    </w:p>
    <w:p w:rsidR="00486ABB" w:rsidRDefault="00486ABB" w:rsidP="00486ABB">
      <w:pPr>
        <w:widowControl/>
        <w:autoSpaceDE w:val="0"/>
        <w:autoSpaceDN w:val="0"/>
        <w:adjustRightInd w:val="0"/>
        <w:spacing w:before="240" w:after="240"/>
        <w:ind w:firstLine="720"/>
        <w:jc w:val="left"/>
        <w:rPr>
          <w:rFonts w:ascii="Arabic Typesetting" w:hAnsi="Arabic Typesetting" w:cs="Arabic Typesetting"/>
          <w:color w:val="auto"/>
          <w:rtl/>
          <w:lang w:val="fr-FR" w:eastAsia="en-US"/>
        </w:rPr>
      </w:pPr>
      <w:r w:rsidRPr="00D3621C">
        <w:rPr>
          <w:rFonts w:ascii="Arabic Typesetting" w:hAnsi="Arabic Typesetting" w:cs="Arabic Typesetting"/>
          <w:color w:val="auto"/>
          <w:rtl/>
          <w:lang w:val="fr-FR" w:eastAsia="en-US"/>
        </w:rPr>
        <w:t xml:space="preserve">لهذا النوع من البحث التأريخي في الآيات الكريمة أهمية كبيرة في تيسير فهم معناها واستنباط الحكم الشرعي منها «لامتناع معرفة تفسير الآية وقصد سبيلها دون الوقوف على قضيتها وبيان سبب نزولها» </w:t>
      </w:r>
      <w:r>
        <w:rPr>
          <w:rStyle w:val="Appelnotedebasdep"/>
          <w:rFonts w:ascii="Arabic Typesetting" w:hAnsi="Arabic Typesetting"/>
          <w:color w:val="auto"/>
          <w:rtl/>
          <w:lang w:val="fr-FR" w:eastAsia="en-US"/>
        </w:rPr>
        <w:footnoteReference w:id="2"/>
      </w:r>
      <w:r>
        <w:rPr>
          <w:rFonts w:ascii="Arabic Typesetting" w:hAnsi="Arabic Typesetting" w:cs="Arabic Typesetting"/>
          <w:color w:val="auto"/>
          <w:rtl/>
          <w:lang w:val="fr-FR" w:eastAsia="en-US"/>
        </w:rPr>
        <w:t>،</w:t>
      </w:r>
      <w:r>
        <w:rPr>
          <w:rFonts w:ascii="Arabic Typesetting" w:hAnsi="Arabic Typesetting" w:cs="Arabic Typesetting" w:hint="cs"/>
          <w:color w:val="auto"/>
          <w:rtl/>
          <w:lang w:val="fr-FR" w:eastAsia="en-US"/>
        </w:rPr>
        <w:t xml:space="preserve"> وهناك أثر عن عمر بن الخطاب يجلي أهمية البحث في أسباب النزول، فقد أخرج أبو عبيد القاسم بن سلام في "فضائل القرآن" بسنده </w:t>
      </w:r>
      <w:r>
        <w:rPr>
          <w:rFonts w:ascii="Arabic Typesetting" w:hAnsi="Arabic Typesetting" w:cs="Arabic Typesetting"/>
          <w:color w:val="auto"/>
          <w:rtl/>
          <w:lang w:val="fr-FR" w:eastAsia="en-US"/>
        </w:rPr>
        <w:t>«</w:t>
      </w:r>
      <w:r>
        <w:rPr>
          <w:rFonts w:ascii="Arabic Typesetting" w:hAnsi="Arabic Typesetting" w:cs="Arabic Typesetting" w:hint="cs"/>
          <w:color w:val="auto"/>
          <w:rtl/>
          <w:lang w:val="fr-FR" w:eastAsia="en-US"/>
        </w:rPr>
        <w:t xml:space="preserve"> </w:t>
      </w:r>
      <w:r w:rsidRPr="00FE1C71">
        <w:rPr>
          <w:rFonts w:ascii="Arabic Typesetting" w:hAnsi="Arabic Typesetting" w:cs="Arabic Typesetting"/>
          <w:color w:val="auto"/>
          <w:rtl/>
          <w:lang w:val="fr-FR" w:eastAsia="en-US"/>
        </w:rPr>
        <w:t>عَنْ إِبْرَاهِيمَ التَّيْمِيِّ، قَالَ:</w:t>
      </w:r>
      <w:r>
        <w:rPr>
          <w:rFonts w:ascii="Arabic Typesetting" w:hAnsi="Arabic Typesetting" w:cs="Arabic Typesetting" w:hint="cs"/>
          <w:color w:val="auto"/>
          <w:rtl/>
          <w:lang w:val="fr-FR" w:eastAsia="en-US"/>
        </w:rPr>
        <w:t xml:space="preserve"> </w:t>
      </w:r>
      <w:r>
        <w:rPr>
          <w:rFonts w:ascii="Arabic Typesetting" w:hAnsi="Arabic Typesetting" w:cs="Arabic Typesetting"/>
          <w:color w:val="auto"/>
          <w:rtl/>
          <w:lang w:val="fr-FR" w:eastAsia="en-US"/>
        </w:rPr>
        <w:t>«</w:t>
      </w:r>
      <w:r w:rsidRPr="00FE1C71">
        <w:rPr>
          <w:rFonts w:ascii="Arabic Typesetting" w:hAnsi="Arabic Typesetting" w:cs="Arabic Typesetting"/>
          <w:color w:val="auto"/>
          <w:rtl/>
          <w:lang w:val="fr-FR" w:eastAsia="en-US"/>
        </w:rPr>
        <w:t xml:space="preserve"> خَلَا عُمَرُ ذَاتَ يَوْمٍ</w:t>
      </w:r>
      <w:r>
        <w:rPr>
          <w:rFonts w:ascii="Arabic Typesetting" w:hAnsi="Arabic Typesetting" w:cs="Arabic Typesetting" w:hint="cs"/>
          <w:color w:val="auto"/>
          <w:rtl/>
          <w:lang w:val="fr-FR" w:eastAsia="en-US"/>
        </w:rPr>
        <w:t>،</w:t>
      </w:r>
      <w:r w:rsidRPr="00FE1C71">
        <w:rPr>
          <w:rFonts w:ascii="Arabic Typesetting" w:hAnsi="Arabic Typesetting" w:cs="Arabic Typesetting"/>
          <w:color w:val="auto"/>
          <w:rtl/>
          <w:lang w:val="fr-FR" w:eastAsia="en-US"/>
        </w:rPr>
        <w:t xml:space="preserve"> فَجَعَلَ يُحَدِّثُ نَفْسَهُ</w:t>
      </w:r>
      <w:r>
        <w:rPr>
          <w:rFonts w:ascii="Arabic Typesetting" w:hAnsi="Arabic Typesetting" w:cs="Arabic Typesetting" w:hint="cs"/>
          <w:color w:val="auto"/>
          <w:rtl/>
          <w:lang w:val="fr-FR" w:eastAsia="en-US"/>
        </w:rPr>
        <w:t>:</w:t>
      </w:r>
      <w:r w:rsidRPr="00FE1C71">
        <w:rPr>
          <w:rFonts w:ascii="Arabic Typesetting" w:hAnsi="Arabic Typesetting" w:cs="Arabic Typesetting"/>
          <w:color w:val="auto"/>
          <w:rtl/>
          <w:lang w:val="fr-FR" w:eastAsia="en-US"/>
        </w:rPr>
        <w:t xml:space="preserve"> كَيْفَ تَخْتَلِفُ هَذِهِ الْأُمَّةُ</w:t>
      </w:r>
      <w:r>
        <w:rPr>
          <w:rFonts w:ascii="Arabic Typesetting" w:hAnsi="Arabic Typesetting" w:cs="Arabic Typesetting" w:hint="cs"/>
          <w:color w:val="auto"/>
          <w:rtl/>
          <w:lang w:val="fr-FR" w:eastAsia="en-US"/>
        </w:rPr>
        <w:t>،</w:t>
      </w:r>
      <w:r w:rsidRPr="00FE1C71">
        <w:rPr>
          <w:rFonts w:ascii="Arabic Typesetting" w:hAnsi="Arabic Typesetting" w:cs="Arabic Typesetting"/>
          <w:color w:val="auto"/>
          <w:rtl/>
          <w:lang w:val="fr-FR" w:eastAsia="en-US"/>
        </w:rPr>
        <w:t xml:space="preserve"> وَنَبِيُّهَا وَاحِدٌ؟ فَأَرْسَلَ إِلَى ابْنِ عَبَّاسٍ فَقَالَ: «كَيْفَ تَخْتَلِفُ هَذِهِ الْأُمَّةُ وَنَبِيُّهَا وَاحِدٌ؛ وَقِبِلْتُهَا وَاحِدَةٌ؟» فَقَالَ ابْنُ عَبَّاسٍ: «يَا أَمِيرَ الْمُؤْمِنِينَ، إِنَّا أُنْزِلَ عَلَيْنَا الْقُرْآنُ فَقَرَأْنَاهُ، وَعَلِمْنَا فِيمَ نَزَلَ، وَإِنَّهُ سَيَكُونُ بَعْدَنَا أَقْوَامٌ يَقْرَءُونَ الْقُرْآنَ وَلَا يَدْرُونَ فِيمَ نَزَلَ، فَيَكُونُ لَهُمْ فِيهِ رَأْيٌ، فَإِذَا كَانَ لَهُمْ فِيهِ رَأْيٌ اخْتَلَفُوا، فَإِذَا اخْتَلَفُوا اقْتَتَلُوا» . قَالَ: فَزَبَرَهُ عُمَرُ وَانْتَهَرَهُ، فَانْصَرَفَ ابْنُ عَبَّاسٍ. وَنَظَرَ عُمَرُ فِيمَا قَالَ، فَعَرَفَهُ، فَأَرْسَلَ إِلَيْهِ، فَقَالَ: «أَعِدْ عَلَيَّ مَا قُلْتَ» . فَأَعَادَهُ عَلَيْهِ، فَعَرَفَ عُمَرُ قَوْلَهُ وَأَعْجَبَهُ</w:t>
      </w:r>
      <w:r>
        <w:rPr>
          <w:rFonts w:ascii="Arabic Typesetting" w:hAnsi="Arabic Typesetting" w:cs="Arabic Typesetting" w:hint="cs"/>
          <w:color w:val="auto"/>
          <w:rtl/>
          <w:lang w:val="fr-FR" w:eastAsia="en-US"/>
        </w:rPr>
        <w:t xml:space="preserve"> </w:t>
      </w:r>
      <w:r>
        <w:rPr>
          <w:rFonts w:ascii="Arabic Typesetting" w:hAnsi="Arabic Typesetting" w:cs="Arabic Typesetting"/>
          <w:color w:val="auto"/>
          <w:rtl/>
          <w:lang w:val="fr-FR" w:eastAsia="en-US"/>
        </w:rPr>
        <w:t>»</w:t>
      </w:r>
      <w:r>
        <w:rPr>
          <w:rStyle w:val="Appelnotedebasdep"/>
          <w:rFonts w:ascii="Arabic Typesetting" w:hAnsi="Arabic Typesetting"/>
          <w:color w:val="auto"/>
          <w:rtl/>
          <w:lang w:val="fr-FR" w:eastAsia="en-US"/>
        </w:rPr>
        <w:footnoteReference w:id="3"/>
      </w:r>
      <w:r>
        <w:rPr>
          <w:rFonts w:ascii="Arabic Typesetting" w:hAnsi="Arabic Typesetting" w:cs="Arabic Typesetting" w:hint="cs"/>
          <w:color w:val="auto"/>
          <w:rtl/>
          <w:lang w:val="fr-FR" w:eastAsia="en-US"/>
        </w:rPr>
        <w:t>.</w:t>
      </w:r>
    </w:p>
    <w:p w:rsidR="00486ABB" w:rsidRPr="002D1D68" w:rsidRDefault="00486ABB" w:rsidP="00486ABB">
      <w:pPr>
        <w:widowControl/>
        <w:autoSpaceDE w:val="0"/>
        <w:autoSpaceDN w:val="0"/>
        <w:adjustRightInd w:val="0"/>
        <w:spacing w:before="240" w:after="240"/>
        <w:ind w:firstLine="0"/>
        <w:jc w:val="left"/>
        <w:rPr>
          <w:rFonts w:ascii="Arabic Typesetting" w:hAnsi="Arabic Typesetting" w:cs="Arabic Typesetting"/>
          <w:color w:val="auto"/>
          <w:sz w:val="40"/>
          <w:szCs w:val="40"/>
          <w:rtl/>
          <w:lang w:val="fr-FR" w:eastAsia="en-US"/>
        </w:rPr>
      </w:pPr>
      <w:r>
        <w:rPr>
          <w:rFonts w:ascii="Arabic Typesetting" w:hAnsi="Arabic Typesetting" w:cs="Arabic Typesetting" w:hint="cs"/>
          <w:color w:val="auto"/>
          <w:rtl/>
          <w:lang w:val="fr-FR" w:eastAsia="en-US"/>
        </w:rPr>
        <w:t xml:space="preserve">- فأسباب النزول تجلي الحكمة من التشريع وتوضحها، حتى تتعمق عند المكلفين، مما يزيد طمأنينة النفوس وتثبيت القلوب على أمر الله تعالى، مثال ذلك في آية الميراث: </w:t>
      </w:r>
      <w:r w:rsidRPr="00D82786">
        <w:rPr>
          <w:rFonts w:ascii="Arabic Typesetting" w:hAnsi="Arabic Typesetting" w:cs="Arabic Typesetting"/>
          <w:color w:val="auto"/>
          <w:rtl/>
          <w:lang w:val="fr-FR" w:eastAsia="en-US"/>
        </w:rPr>
        <w:t>{ يُوصِيكُمُ اللَّهُ فِي أَوْلَادِكُمْ } [النساء: 11]</w:t>
      </w:r>
      <w:r>
        <w:rPr>
          <w:rFonts w:ascii="Arabic Typesetting" w:hAnsi="Arabic Typesetting" w:cs="Arabic Typesetting" w:hint="cs"/>
          <w:color w:val="auto"/>
          <w:rtl/>
          <w:lang w:val="fr-FR" w:eastAsia="en-US"/>
        </w:rPr>
        <w:t xml:space="preserve"> حيث كانت أول آية في كتاب الله تعالى تقرع قلوب المؤمنين لتبين لهم أن أحكامهم في الميراث جائرة ظالمة، وقد آن لهم أن يقلعوا عن هذا الجور، ويورثوا النساء والصبيان</w:t>
      </w:r>
      <w:r>
        <w:rPr>
          <w:rStyle w:val="Appelnotedebasdep"/>
          <w:rFonts w:ascii="Arabic Typesetting" w:hAnsi="Arabic Typesetting"/>
          <w:color w:val="auto"/>
          <w:rtl/>
          <w:lang w:val="fr-FR" w:eastAsia="en-US"/>
        </w:rPr>
        <w:footnoteReference w:id="4"/>
      </w:r>
      <w:r>
        <w:rPr>
          <w:rFonts w:ascii="Arabic Typesetting" w:hAnsi="Arabic Typesetting" w:cs="Arabic Typesetting" w:hint="cs"/>
          <w:color w:val="auto"/>
          <w:rtl/>
          <w:lang w:val="fr-FR" w:eastAsia="en-US"/>
        </w:rPr>
        <w:t xml:space="preserve">، أخرج الدارقطني في سننه </w:t>
      </w:r>
      <w:r w:rsidRPr="009857B5">
        <w:rPr>
          <w:rFonts w:ascii="Arabic Typesetting" w:hAnsi="Arabic Typesetting" w:cs="Arabic Typesetting"/>
          <w:color w:val="auto"/>
          <w:sz w:val="40"/>
          <w:szCs w:val="40"/>
          <w:rtl/>
          <w:lang w:val="fr-FR" w:eastAsia="en-US"/>
        </w:rPr>
        <w:t>عَ</w:t>
      </w:r>
      <w:r>
        <w:rPr>
          <w:rFonts w:ascii="Arabic Typesetting" w:hAnsi="Arabic Typesetting" w:cs="Arabic Typesetting"/>
          <w:color w:val="auto"/>
          <w:sz w:val="40"/>
          <w:szCs w:val="40"/>
          <w:rtl/>
          <w:lang w:val="fr-FR" w:eastAsia="en-US"/>
        </w:rPr>
        <w:t>نْ جَابِرِ بْنِ عَبْدِ اللَّهِ</w:t>
      </w:r>
      <w:r w:rsidRPr="009857B5">
        <w:rPr>
          <w:rFonts w:ascii="Arabic Typesetting" w:hAnsi="Arabic Typesetting" w:cs="Arabic Typesetting"/>
          <w:color w:val="auto"/>
          <w:sz w:val="40"/>
          <w:szCs w:val="40"/>
          <w:rtl/>
          <w:lang w:val="fr-FR" w:eastAsia="en-US"/>
        </w:rPr>
        <w:t xml:space="preserve"> </w:t>
      </w:r>
      <w:r>
        <w:rPr>
          <w:rFonts w:ascii="Arabic Typesetting" w:hAnsi="Arabic Typesetting" w:cs="Arabic Typesetting" w:hint="cs"/>
          <w:color w:val="auto"/>
          <w:sz w:val="40"/>
          <w:szCs w:val="40"/>
          <w:rtl/>
          <w:lang w:val="fr-FR" w:eastAsia="en-US"/>
        </w:rPr>
        <w:t>أن امرأة</w:t>
      </w:r>
      <w:r w:rsidRPr="009857B5">
        <w:rPr>
          <w:rFonts w:ascii="Arabic Typesetting" w:hAnsi="Arabic Typesetting" w:cs="Arabic Typesetting"/>
          <w:color w:val="auto"/>
          <w:sz w:val="40"/>
          <w:szCs w:val="40"/>
          <w:rtl/>
          <w:lang w:val="fr-FR" w:eastAsia="en-US"/>
        </w:rPr>
        <w:t xml:space="preserve"> جَاءَتِ</w:t>
      </w:r>
      <w:r>
        <w:rPr>
          <w:rFonts w:ascii="Arabic Typesetting" w:hAnsi="Arabic Typesetting" w:cs="Arabic Typesetting"/>
          <w:color w:val="auto"/>
          <w:sz w:val="40"/>
          <w:szCs w:val="40"/>
          <w:rtl/>
          <w:lang w:val="fr-FR" w:eastAsia="en-US"/>
        </w:rPr>
        <w:t xml:space="preserve"> بِابْنَتَيْنِ لَهَا</w:t>
      </w:r>
      <w:r>
        <w:rPr>
          <w:rFonts w:ascii="Arabic Typesetting" w:hAnsi="Arabic Typesetting" w:cs="Arabic Typesetting" w:hint="cs"/>
          <w:color w:val="auto"/>
          <w:sz w:val="40"/>
          <w:szCs w:val="40"/>
          <w:rtl/>
          <w:lang w:val="fr-FR" w:eastAsia="en-US"/>
        </w:rPr>
        <w:t>،</w:t>
      </w:r>
      <w:r w:rsidRPr="009857B5">
        <w:rPr>
          <w:rFonts w:ascii="Arabic Typesetting" w:hAnsi="Arabic Typesetting" w:cs="Arabic Typesetting"/>
          <w:color w:val="auto"/>
          <w:sz w:val="40"/>
          <w:szCs w:val="40"/>
          <w:rtl/>
          <w:lang w:val="fr-FR" w:eastAsia="en-US"/>
        </w:rPr>
        <w:t xml:space="preserve"> فَقَالَتْ: يَا رَسُولَ اللَّهِ هَاتَانِ ابْنَتَا ثَابِتِ بْنِ قَيْسٍ أَوْ قَالَتْ: سَعْدِ بْنِ الرَّبِيعِ قُتِلَ مَعَكَ يَوْمَ أُحُدٍ وَقَدِ اسْتَفَاءَ عَمُّهُمَا مَالَهُمَا وَمِيرَاثَهُمَا كُلَّهُ فَلَمْ يَدَعْ لَهُمَا مَالًا إِلَّا أَخَذَهُ , فَمَا تَرَى يَا رَسُولَ اللَّهِ؟ فَوَاللَّهِ مَا تُنْكَحَانِ أَبَدًا إِلَّا وَلَهُمَا مَالٌ , وَقَالَ: فَقَالَ: «يَقْضِي اللَّهُ فِي ذَلِكَ» , فَنَزَلَتْ سُورَةُ النِّسَاءِ وَفِيهَا {يُوصِيكُمُ اللَّهُ فِي أَوْلَادِكُمْ لِلذَّكَرِ مِثْلُ حَظِّ الْأُنْثَيَيْنِ} [النساء: 11] الْآيَةَ , فَقَالَ لِي رَسُولُ اللَّهِ صَلَّى اللهُ عَلَيْهِ وَسَلَّمَ: «ادْعُوا لِي الْمَرْأَةَ وَصَاحِبَهَا» , فَقَالَ لِعَمِّهَا: «أَعْطِهِمَا الثُّلُثَيْنِ وَأَعْطِ أُمَّهُمَا</w:t>
      </w:r>
      <w:r w:rsidRPr="002D1D68">
        <w:rPr>
          <w:rFonts w:ascii="Arabic Typesetting" w:hAnsi="Arabic Typesetting" w:cs="Arabic Typesetting"/>
          <w:color w:val="auto"/>
          <w:sz w:val="40"/>
          <w:szCs w:val="40"/>
          <w:rtl/>
          <w:lang w:val="fr-FR" w:eastAsia="en-US"/>
        </w:rPr>
        <w:t xml:space="preserve"> الثُّمُنَ وَمَا بَقِيَ فَلَكَ»</w:t>
      </w:r>
      <w:r w:rsidRPr="002D1D68">
        <w:rPr>
          <w:rStyle w:val="Appelnotedebasdep"/>
          <w:rFonts w:ascii="Arabic Typesetting" w:hAnsi="Arabic Typesetting" w:cs="Arabic Typesetting"/>
          <w:color w:val="auto"/>
          <w:sz w:val="40"/>
          <w:szCs w:val="40"/>
          <w:rtl/>
          <w:lang w:val="fr-FR" w:eastAsia="en-US"/>
        </w:rPr>
        <w:footnoteReference w:id="5"/>
      </w:r>
      <w:r w:rsidRPr="002D1D68">
        <w:rPr>
          <w:rFonts w:ascii="Arabic Typesetting" w:hAnsi="Arabic Typesetting" w:cs="Arabic Typesetting"/>
          <w:color w:val="auto"/>
          <w:sz w:val="40"/>
          <w:szCs w:val="40"/>
          <w:rtl/>
          <w:lang w:val="fr-FR" w:eastAsia="en-US"/>
        </w:rPr>
        <w:t>.</w:t>
      </w:r>
    </w:p>
    <w:p w:rsidR="00486ABB" w:rsidRPr="002D1D68" w:rsidRDefault="00486ABB" w:rsidP="00486ABB">
      <w:pPr>
        <w:widowControl/>
        <w:autoSpaceDE w:val="0"/>
        <w:autoSpaceDN w:val="0"/>
        <w:adjustRightInd w:val="0"/>
        <w:ind w:firstLine="0"/>
        <w:jc w:val="left"/>
        <w:rPr>
          <w:rFonts w:ascii="Arabic Typesetting" w:hAnsi="Arabic Typesetting" w:cs="Arabic Typesetting"/>
          <w:color w:val="auto"/>
          <w:sz w:val="40"/>
          <w:szCs w:val="40"/>
          <w:rtl/>
          <w:lang w:val="fr-FR" w:eastAsia="en-US"/>
        </w:rPr>
      </w:pPr>
      <w:r w:rsidRPr="002D1D68">
        <w:rPr>
          <w:rFonts w:ascii="Arabic Typesetting" w:hAnsi="Arabic Typesetting" w:cs="Arabic Typesetting"/>
          <w:color w:val="auto"/>
          <w:sz w:val="40"/>
          <w:szCs w:val="40"/>
          <w:rtl/>
          <w:lang w:val="fr-FR" w:eastAsia="en-US"/>
        </w:rPr>
        <w:t>- فهم وإزالة ما يبدو من إشكالات في الظاهر عند بعض الناس، فهناك بعض الآيات لا يمكن فهمها تمام الفهم إلا إذا كشفنا عن سبب نزولها</w:t>
      </w:r>
      <w:r w:rsidRPr="002D1D68">
        <w:rPr>
          <w:rStyle w:val="Appelnotedebasdep"/>
          <w:rFonts w:ascii="Arabic Typesetting" w:hAnsi="Arabic Typesetting" w:cs="Arabic Typesetting"/>
          <w:color w:val="auto"/>
          <w:sz w:val="40"/>
          <w:szCs w:val="40"/>
          <w:rtl/>
          <w:lang w:val="fr-FR" w:eastAsia="en-US"/>
        </w:rPr>
        <w:footnoteReference w:id="6"/>
      </w:r>
      <w:r w:rsidRPr="002D1D68">
        <w:rPr>
          <w:rFonts w:ascii="Arabic Typesetting" w:hAnsi="Arabic Typesetting" w:cs="Arabic Typesetting"/>
          <w:color w:val="auto"/>
          <w:sz w:val="40"/>
          <w:szCs w:val="40"/>
          <w:rtl/>
          <w:lang w:val="fr-FR" w:eastAsia="en-US"/>
        </w:rPr>
        <w:t xml:space="preserve">، </w:t>
      </w:r>
      <w:r>
        <w:rPr>
          <w:rFonts w:ascii="Arabic Typesetting" w:hAnsi="Arabic Typesetting" w:cs="Arabic Typesetting" w:hint="cs"/>
          <w:color w:val="auto"/>
          <w:sz w:val="40"/>
          <w:szCs w:val="40"/>
          <w:rtl/>
          <w:lang w:val="fr-FR" w:eastAsia="en-US"/>
        </w:rPr>
        <w:t xml:space="preserve">وأبرز مثال عليه آية الصفا والمروة في قوله تعالى: </w:t>
      </w:r>
      <w:r w:rsidRPr="0075197F">
        <w:rPr>
          <w:rFonts w:ascii="Arabic Typesetting" w:hAnsi="Arabic Typesetting" w:cs="Arabic Typesetting"/>
          <w:color w:val="auto"/>
          <w:sz w:val="40"/>
          <w:szCs w:val="40"/>
          <w:rtl/>
          <w:lang w:val="fr-FR" w:eastAsia="en-US"/>
        </w:rPr>
        <w:t>{إِنَّ الصَّفَا وَالْمَرْوَةَ مِنْ شَعَائِرِ اللَّهِ فَمَنْ حَجَّ الْبَيْتَ أَوِ اعْتَمَرَ فَلَا جُنَاحَ عَلَيْهِ أَنْ يَطَّوَّفَ بِهِمَا وَمَنْ تَطَوَّعَ خَيْرًا فَإِنَّ اللَّهَ شَاكِرٌ عَلِيمٌ} [البقرة: 158]</w:t>
      </w:r>
      <w:r>
        <w:rPr>
          <w:rFonts w:ascii="Arabic Typesetting" w:hAnsi="Arabic Typesetting" w:cs="Arabic Typesetting" w:hint="cs"/>
          <w:color w:val="auto"/>
          <w:sz w:val="40"/>
          <w:szCs w:val="40"/>
          <w:rtl/>
          <w:lang w:val="fr-FR" w:eastAsia="en-US"/>
        </w:rPr>
        <w:t xml:space="preserve"> فعند تفسيرها بالمعنى الظاهر المتبادر منها نصل إلى أن الطواف بين الصفا والمروة يأخذ حكم </w:t>
      </w:r>
      <w:r>
        <w:rPr>
          <w:rFonts w:ascii="Arabic Typesetting" w:hAnsi="Arabic Typesetting" w:cs="Arabic Typesetting" w:hint="cs"/>
          <w:color w:val="auto"/>
          <w:sz w:val="40"/>
          <w:szCs w:val="40"/>
          <w:rtl/>
          <w:lang w:val="fr-FR" w:eastAsia="en-US"/>
        </w:rPr>
        <w:lastRenderedPageBreak/>
        <w:t xml:space="preserve">الجواز، لكنه على خلاف ذلك، فقد أخرج البخاري في سبب نزولها عن </w:t>
      </w:r>
      <w:r w:rsidRPr="004E2DBE">
        <w:rPr>
          <w:rFonts w:ascii="Arabic Typesetting" w:hAnsi="Arabic Typesetting" w:cs="Arabic Typesetting"/>
          <w:sz w:val="40"/>
          <w:szCs w:val="40"/>
          <w:rtl/>
          <w:lang w:val="fr-FR" w:eastAsia="en-US"/>
        </w:rPr>
        <w:t>عروة</w:t>
      </w:r>
      <w:r>
        <w:rPr>
          <w:rFonts w:ascii="Arabic Typesetting" w:hAnsi="Arabic Typesetting" w:cs="Arabic Typesetting" w:hint="cs"/>
          <w:sz w:val="40"/>
          <w:szCs w:val="40"/>
          <w:rtl/>
          <w:lang w:val="fr-FR" w:eastAsia="en-US"/>
        </w:rPr>
        <w:t xml:space="preserve"> بن الزبير قال: </w:t>
      </w:r>
      <w:r>
        <w:rPr>
          <w:rFonts w:ascii="Arabic Typesetting" w:hAnsi="Arabic Typesetting" w:cs="Arabic Typesetting"/>
          <w:sz w:val="40"/>
          <w:szCs w:val="40"/>
          <w:rtl/>
          <w:lang w:val="fr-FR" w:eastAsia="en-US"/>
        </w:rPr>
        <w:t>«</w:t>
      </w:r>
      <w:r>
        <w:rPr>
          <w:rFonts w:ascii="Arabic Typesetting" w:hAnsi="Arabic Typesetting" w:cs="Arabic Typesetting" w:hint="cs"/>
          <w:sz w:val="40"/>
          <w:szCs w:val="40"/>
          <w:rtl/>
          <w:lang w:val="fr-FR" w:eastAsia="en-US"/>
        </w:rPr>
        <w:t xml:space="preserve"> </w:t>
      </w:r>
      <w:r w:rsidRPr="002D1D68">
        <w:rPr>
          <w:rFonts w:ascii="Arabic Typesetting" w:hAnsi="Arabic Typesetting" w:cs="Arabic Typesetting"/>
          <w:color w:val="auto"/>
          <w:sz w:val="40"/>
          <w:szCs w:val="40"/>
          <w:rtl/>
          <w:lang w:val="fr-FR" w:eastAsia="en-US"/>
        </w:rPr>
        <w:t>قلت لعائشة رضي الله عنها زوج النبي صلى الله عليه و سلم وأنا يومئذ حديث السن أرأيت قول الله تبارك وتعالى { إن الصفا والمروة من شعائر الله فمن حج البيت أو اعتمر فلا جناح عليه أن يطوف بهما } . فلا أرى على أحد شيئا أن لا يطوف بهما ؟ . فقالت عائشة كلا لو كانت كما تقول كانت فلا جناح عليه أن لا يطوف بهما إنما أنزلت هذه الآية في الأنصار كانوا يهلون لمناة وكانت مناة حذو قديد وكانوا يتحرجون أن يطوفوا بين الصفا والمروة فلما جاء الإسلام سألوا رسول الله صلى الله عليه و سلم عن ذلك فأنزل الله تعالى { إن الصفا والمروة من شعائر الله فمن حج البيت أو اعتمر فلا جناح عليه أن يطوف بهما }</w:t>
      </w:r>
      <w:r>
        <w:rPr>
          <w:rFonts w:ascii="Arabic Typesetting" w:hAnsi="Arabic Typesetting" w:cs="Arabic Typesetting" w:hint="cs"/>
          <w:color w:val="auto"/>
          <w:sz w:val="40"/>
          <w:szCs w:val="40"/>
          <w:rtl/>
          <w:lang w:val="fr-FR" w:eastAsia="en-US"/>
        </w:rPr>
        <w:t xml:space="preserve"> </w:t>
      </w:r>
      <w:r w:rsidRPr="002D1D68">
        <w:rPr>
          <w:rFonts w:ascii="Arabic Typesetting" w:hAnsi="Arabic Typesetting" w:cs="Arabic Typesetting"/>
          <w:color w:val="auto"/>
          <w:sz w:val="40"/>
          <w:szCs w:val="40"/>
          <w:rtl/>
          <w:lang w:val="fr-FR" w:eastAsia="en-US"/>
        </w:rPr>
        <w:t>»</w:t>
      </w:r>
      <w:r w:rsidRPr="002D1D68">
        <w:rPr>
          <w:rStyle w:val="Appelnotedebasdep"/>
          <w:rFonts w:ascii="Arabic Typesetting" w:hAnsi="Arabic Typesetting" w:cs="Arabic Typesetting"/>
          <w:color w:val="auto"/>
          <w:sz w:val="40"/>
          <w:szCs w:val="40"/>
          <w:rtl/>
          <w:lang w:val="fr-FR" w:eastAsia="en-US"/>
        </w:rPr>
        <w:footnoteReference w:id="7"/>
      </w:r>
      <w:r>
        <w:rPr>
          <w:rFonts w:ascii="Arabic Typesetting" w:hAnsi="Arabic Typesetting" w:cs="Arabic Typesetting" w:hint="cs"/>
          <w:color w:val="auto"/>
          <w:sz w:val="40"/>
          <w:szCs w:val="40"/>
          <w:rtl/>
          <w:lang w:val="fr-FR" w:eastAsia="en-US"/>
        </w:rPr>
        <w:t>.</w:t>
      </w:r>
    </w:p>
    <w:p w:rsidR="00486ABB" w:rsidRDefault="00486ABB" w:rsidP="00486ABB">
      <w:pPr>
        <w:widowControl/>
        <w:autoSpaceDE w:val="0"/>
        <w:autoSpaceDN w:val="0"/>
        <w:adjustRightInd w:val="0"/>
        <w:spacing w:before="240" w:after="240"/>
        <w:ind w:firstLine="720"/>
        <w:jc w:val="left"/>
        <w:rPr>
          <w:rFonts w:ascii="Arabic Typesetting" w:hAnsi="Arabic Typesetting" w:cs="Arabic Typesetting"/>
          <w:color w:val="auto"/>
          <w:sz w:val="28"/>
          <w:szCs w:val="28"/>
          <w:rtl/>
          <w:lang w:val="fr-FR" w:eastAsia="en-US"/>
        </w:rPr>
      </w:pPr>
      <w:r>
        <w:rPr>
          <w:rFonts w:ascii="Arabic Typesetting" w:hAnsi="Arabic Typesetting" w:cs="Arabic Typesetting" w:hint="cs"/>
          <w:color w:val="auto"/>
          <w:rtl/>
          <w:lang w:val="fr-FR" w:eastAsia="en-US"/>
        </w:rPr>
        <w:t xml:space="preserve">مثال آخر: </w:t>
      </w:r>
      <w:r w:rsidRPr="00D3621C">
        <w:rPr>
          <w:rFonts w:ascii="Arabic Typesetting" w:hAnsi="Arabic Typesetting" w:cs="Arabic Typesetting"/>
          <w:color w:val="auto"/>
          <w:rtl/>
          <w:lang w:val="fr-FR" w:eastAsia="en-US"/>
        </w:rPr>
        <w:t xml:space="preserve">فإن بعض من تلا هذه الآية ﴿ لَيْسَ عَلَى الَّذِينَ آمَنُوا وَعَمِلُوا الصَّالِحاتِ جُناحٌ فِيما طَعِمُوا إِذا مَا اتَّقَوْا وَآمَنُوا وَعَمِلُوا الصَّالِحاتِ ثُمَّ اتَّقَوْا وَآمَنُوا ثُمَّ اتَّقَوْا وَأَحْسَنُوا وَاللَّهُ يُحِبُّ الْمُحْسِنِينَ ﴾ </w:t>
      </w:r>
      <w:r w:rsidRPr="00D3621C">
        <w:rPr>
          <w:rFonts w:ascii="Arabic Typesetting" w:hAnsi="Arabic Typesetting" w:cs="Arabic Typesetting"/>
          <w:color w:val="auto"/>
          <w:sz w:val="28"/>
          <w:szCs w:val="28"/>
          <w:rtl/>
          <w:lang w:val="fr-FR" w:eastAsia="en-US"/>
        </w:rPr>
        <w:t xml:space="preserve">[المائدة93] </w:t>
      </w:r>
      <w:r w:rsidRPr="00D3621C">
        <w:rPr>
          <w:rFonts w:ascii="Arabic Typesetting" w:hAnsi="Arabic Typesetting" w:cs="Arabic Typesetting"/>
          <w:color w:val="auto"/>
          <w:rtl/>
          <w:lang w:val="fr-FR" w:eastAsia="en-US"/>
        </w:rPr>
        <w:t xml:space="preserve">ظن أنّ من كان كذلك جاز له أن يأكل ما يشاء، ويشرب ما يشاء، حتى ولو كان ذلك محرما </w:t>
      </w:r>
      <w:r w:rsidRPr="00D3621C">
        <w:rPr>
          <w:rFonts w:ascii="Arabic Typesetting" w:hAnsi="Arabic Typesetting" w:cs="Arabic Typesetting"/>
          <w:color w:val="auto"/>
          <w:sz w:val="28"/>
          <w:szCs w:val="28"/>
          <w:rtl/>
          <w:lang w:val="fr-FR" w:eastAsia="en-US"/>
        </w:rPr>
        <w:t>(الإتقان، السيوطي)</w:t>
      </w:r>
      <w:r w:rsidRPr="00D3621C">
        <w:rPr>
          <w:rFonts w:ascii="Arabic Typesetting" w:hAnsi="Arabic Typesetting" w:cs="Arabic Typesetting"/>
          <w:color w:val="auto"/>
          <w:rtl/>
          <w:lang w:val="fr-FR" w:eastAsia="en-US"/>
        </w:rPr>
        <w:t>. لكن الوقوف على مناسبة نزول هذه الآية يوضّح حقيقة معناها، ومن يشملهم حكمها، فقد روى البخاريّ ومسلم: أنه لما نزل تحريم الخمر قال بعض الصحابة:كيف لأصحابنا الذين ماتوا وكانوا يشربونها؟ قبل نزول التحريم طبعا، فنزلت هذه الآية ﴿ لَيْسَ عَلَى الَّذِينَ آمَنُوا وَعَمِلُوا الصَّالِحاتِ جُناحٌ فِيما طَعِمُوا ..﴾</w:t>
      </w:r>
      <w:r w:rsidRPr="00D3621C">
        <w:rPr>
          <w:rFonts w:ascii="Arabic Typesetting" w:hAnsi="Arabic Typesetting" w:cs="Arabic Typesetting"/>
          <w:color w:val="auto"/>
          <w:sz w:val="28"/>
          <w:szCs w:val="28"/>
          <w:rtl/>
          <w:lang w:val="fr-FR" w:eastAsia="en-US"/>
        </w:rPr>
        <w:t xml:space="preserve"> (ابن حجر، فتح الباري).</w:t>
      </w:r>
    </w:p>
    <w:p w:rsidR="00C9224F" w:rsidRDefault="00C9224F"/>
    <w:sectPr w:rsidR="00C9224F" w:rsidSect="00C9224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E3C" w:rsidRDefault="00F02E3C" w:rsidP="00486ABB">
      <w:r>
        <w:separator/>
      </w:r>
    </w:p>
  </w:endnote>
  <w:endnote w:type="continuationSeparator" w:id="1">
    <w:p w:rsidR="00F02E3C" w:rsidRDefault="00F02E3C" w:rsidP="00486A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E3C" w:rsidRDefault="00F02E3C" w:rsidP="00486ABB">
      <w:r>
        <w:separator/>
      </w:r>
    </w:p>
  </w:footnote>
  <w:footnote w:type="continuationSeparator" w:id="1">
    <w:p w:rsidR="00F02E3C" w:rsidRDefault="00F02E3C" w:rsidP="00486ABB">
      <w:r>
        <w:continuationSeparator/>
      </w:r>
    </w:p>
  </w:footnote>
  <w:footnote w:id="2">
    <w:p w:rsidR="00486ABB" w:rsidRDefault="00486ABB" w:rsidP="00486ABB">
      <w:pPr>
        <w:pStyle w:val="Notedebasdepage"/>
      </w:pPr>
      <w:r>
        <w:rPr>
          <w:rStyle w:val="Appelnotedebasdep"/>
        </w:rPr>
        <w:footnoteRef/>
      </w:r>
      <w:r>
        <w:rPr>
          <w:rFonts w:hint="cs"/>
          <w:rtl/>
        </w:rPr>
        <w:t>- غانم قدوري، محاضرات في علوم القرآن، ؟؟  عن:</w:t>
      </w:r>
      <w:r w:rsidRPr="009857B5">
        <w:rPr>
          <w:rFonts w:ascii="Arabic Typesetting" w:hAnsi="Arabic Typesetting" w:cs="Arabic Typesetting"/>
          <w:color w:val="auto"/>
          <w:rtl/>
          <w:lang w:val="fr-FR" w:eastAsia="en-US"/>
        </w:rPr>
        <w:t xml:space="preserve"> </w:t>
      </w:r>
      <w:r w:rsidRPr="00D3621C">
        <w:rPr>
          <w:rFonts w:ascii="Arabic Typesetting" w:hAnsi="Arabic Typesetting" w:cs="Arabic Typesetting"/>
          <w:color w:val="auto"/>
          <w:rtl/>
          <w:lang w:val="fr-FR" w:eastAsia="en-US"/>
        </w:rPr>
        <w:t>(أسباب نزول القرآن، الواحدي)</w:t>
      </w:r>
    </w:p>
  </w:footnote>
  <w:footnote w:id="3">
    <w:p w:rsidR="00486ABB" w:rsidRPr="008F65D9" w:rsidRDefault="00486ABB" w:rsidP="00486ABB">
      <w:pPr>
        <w:widowControl/>
        <w:autoSpaceDE w:val="0"/>
        <w:autoSpaceDN w:val="0"/>
        <w:adjustRightInd w:val="0"/>
        <w:ind w:firstLine="0"/>
        <w:jc w:val="left"/>
        <w:rPr>
          <w:rFonts w:ascii="Arabic Typesetting" w:hAnsi="Arabic Typesetting" w:cs="Arabic Typesetting"/>
          <w:color w:val="auto"/>
          <w:sz w:val="32"/>
          <w:szCs w:val="32"/>
          <w:rtl/>
          <w:lang w:val="fr-FR" w:eastAsia="en-US"/>
        </w:rPr>
      </w:pPr>
      <w:r w:rsidRPr="008F65D9">
        <w:rPr>
          <w:rStyle w:val="Appelnotedebasdep"/>
          <w:rFonts w:ascii="Arabic Typesetting" w:hAnsi="Arabic Typesetting" w:cs="Arabic Typesetting"/>
          <w:sz w:val="32"/>
          <w:szCs w:val="32"/>
        </w:rPr>
        <w:footnoteRef/>
      </w:r>
      <w:r w:rsidRPr="008F65D9">
        <w:rPr>
          <w:rFonts w:ascii="Arabic Typesetting" w:hAnsi="Arabic Typesetting" w:cs="Arabic Typesetting"/>
          <w:sz w:val="32"/>
          <w:szCs w:val="32"/>
          <w:rtl/>
        </w:rPr>
        <w:t xml:space="preserve">- </w:t>
      </w:r>
      <w:r w:rsidRPr="008F65D9">
        <w:rPr>
          <w:rFonts w:ascii="Arabic Typesetting" w:hAnsi="Arabic Typesetting" w:cs="Arabic Typesetting"/>
          <w:color w:val="auto"/>
          <w:sz w:val="32"/>
          <w:szCs w:val="32"/>
          <w:rtl/>
          <w:lang w:val="fr-FR" w:eastAsia="en-US"/>
        </w:rPr>
        <w:t>أبو عُبيد القاسم بن سلاّم فضائل القرآن للقاسم بن سلام</w:t>
      </w:r>
      <w:r>
        <w:rPr>
          <w:rFonts w:ascii="Arabic Typesetting" w:hAnsi="Arabic Typesetting" w:cs="Arabic Typesetting" w:hint="cs"/>
          <w:color w:val="auto"/>
          <w:sz w:val="32"/>
          <w:szCs w:val="32"/>
          <w:rtl/>
          <w:lang w:val="fr-FR" w:eastAsia="en-US"/>
        </w:rPr>
        <w:t xml:space="preserve">، </w:t>
      </w:r>
      <w:r>
        <w:rPr>
          <w:rFonts w:ascii="Arabic Typesetting" w:hAnsi="Arabic Typesetting" w:cs="Arabic Typesetting"/>
          <w:color w:val="auto"/>
          <w:sz w:val="32"/>
          <w:szCs w:val="32"/>
          <w:rtl/>
          <w:lang w:val="fr-FR" w:eastAsia="en-US"/>
        </w:rPr>
        <w:t>ت</w:t>
      </w:r>
      <w:r w:rsidRPr="008F65D9">
        <w:rPr>
          <w:rFonts w:ascii="Arabic Typesetting" w:hAnsi="Arabic Typesetting" w:cs="Arabic Typesetting"/>
          <w:color w:val="auto"/>
          <w:sz w:val="32"/>
          <w:szCs w:val="32"/>
          <w:rtl/>
          <w:lang w:val="fr-FR" w:eastAsia="en-US"/>
        </w:rPr>
        <w:t>: مروان العطية، ومحسن خرابة، ووفاء تقي الدين</w:t>
      </w:r>
      <w:r>
        <w:rPr>
          <w:rFonts w:ascii="Arabic Typesetting" w:hAnsi="Arabic Typesetting" w:cs="Arabic Typesetting" w:hint="cs"/>
          <w:color w:val="auto"/>
          <w:sz w:val="32"/>
          <w:szCs w:val="32"/>
          <w:rtl/>
          <w:lang w:val="fr-FR" w:eastAsia="en-US"/>
        </w:rPr>
        <w:t>،</w:t>
      </w:r>
      <w:r w:rsidRPr="008F65D9">
        <w:rPr>
          <w:rFonts w:ascii="Arabic Typesetting" w:hAnsi="Arabic Typesetting" w:cs="Arabic Typesetting"/>
          <w:color w:val="auto"/>
          <w:sz w:val="32"/>
          <w:szCs w:val="32"/>
          <w:rtl/>
          <w:lang w:val="fr-FR" w:eastAsia="en-US"/>
        </w:rPr>
        <w:t xml:space="preserve"> دار ابن كثير (دمشق - بيروت)</w:t>
      </w:r>
      <w:r>
        <w:rPr>
          <w:rFonts w:ascii="Arabic Typesetting" w:hAnsi="Arabic Typesetting" w:cs="Arabic Typesetting" w:hint="cs"/>
          <w:color w:val="auto"/>
          <w:sz w:val="32"/>
          <w:szCs w:val="32"/>
          <w:rtl/>
          <w:lang w:val="fr-FR" w:eastAsia="en-US"/>
        </w:rPr>
        <w:t xml:space="preserve">، ط:01، </w:t>
      </w:r>
      <w:r w:rsidRPr="008F65D9">
        <w:rPr>
          <w:rFonts w:ascii="Arabic Typesetting" w:hAnsi="Arabic Typesetting" w:cs="Arabic Typesetting"/>
          <w:color w:val="auto"/>
          <w:sz w:val="32"/>
          <w:szCs w:val="32"/>
          <w:rtl/>
          <w:lang w:val="fr-FR" w:eastAsia="en-US"/>
        </w:rPr>
        <w:t>1415 هـ -1995 م</w:t>
      </w:r>
      <w:r>
        <w:rPr>
          <w:rFonts w:ascii="Arabic Typesetting" w:hAnsi="Arabic Typesetting" w:cs="Arabic Typesetting" w:hint="cs"/>
          <w:color w:val="auto"/>
          <w:sz w:val="32"/>
          <w:szCs w:val="32"/>
          <w:rtl/>
          <w:lang w:val="fr-FR" w:eastAsia="en-US"/>
        </w:rPr>
        <w:t>، ص:102. والأثر أشار إليه: فضل عباس، إتقان البرهان، ج1، ص313.</w:t>
      </w:r>
    </w:p>
    <w:p w:rsidR="00486ABB" w:rsidRPr="00D82786" w:rsidRDefault="00486ABB" w:rsidP="00486ABB">
      <w:pPr>
        <w:pStyle w:val="Notedebasdepage"/>
        <w:rPr>
          <w:rFonts w:ascii="Arabic Typesetting" w:hAnsi="Arabic Typesetting" w:cs="Arabic Typesetting"/>
          <w:sz w:val="6"/>
          <w:szCs w:val="6"/>
          <w:lang w:bidi="ar-DZ"/>
        </w:rPr>
      </w:pPr>
    </w:p>
  </w:footnote>
  <w:footnote w:id="4">
    <w:p w:rsidR="00486ABB" w:rsidRPr="00D82786" w:rsidRDefault="00486ABB" w:rsidP="00486ABB">
      <w:pPr>
        <w:pStyle w:val="Notedebasdepage"/>
        <w:rPr>
          <w:rFonts w:ascii="Arabic Typesetting" w:hAnsi="Arabic Typesetting" w:cs="Arabic Typesetting"/>
          <w:color w:val="auto"/>
          <w:sz w:val="32"/>
          <w:szCs w:val="32"/>
          <w:lang w:val="fr-FR" w:eastAsia="en-US"/>
        </w:rPr>
      </w:pPr>
      <w:r w:rsidRPr="00D82786">
        <w:rPr>
          <w:rFonts w:ascii="Arabic Typesetting" w:hAnsi="Arabic Typesetting" w:cs="Arabic Typesetting"/>
          <w:color w:val="auto"/>
          <w:sz w:val="32"/>
          <w:szCs w:val="32"/>
          <w:vertAlign w:val="superscript"/>
          <w:lang w:val="fr-FR" w:eastAsia="en-US"/>
        </w:rPr>
        <w:footnoteRef/>
      </w:r>
      <w:r w:rsidRPr="00D82786">
        <w:rPr>
          <w:rFonts w:ascii="Arabic Typesetting" w:hAnsi="Arabic Typesetting" w:cs="Arabic Typesetting" w:hint="cs"/>
          <w:color w:val="auto"/>
          <w:sz w:val="32"/>
          <w:szCs w:val="32"/>
          <w:rtl/>
          <w:lang w:val="fr-FR" w:eastAsia="en-US"/>
        </w:rPr>
        <w:t>- فضل عباس، إتقان البرهان، ج1، ص313، 314.</w:t>
      </w:r>
      <w:r w:rsidRPr="00D82786">
        <w:rPr>
          <w:rFonts w:ascii="Arabic Typesetting" w:hAnsi="Arabic Typesetting" w:cs="Arabic Typesetting"/>
          <w:color w:val="auto"/>
          <w:sz w:val="32"/>
          <w:szCs w:val="32"/>
          <w:rtl/>
          <w:lang w:val="fr-FR" w:eastAsia="en-US"/>
        </w:rPr>
        <w:t xml:space="preserve"> </w:t>
      </w:r>
    </w:p>
  </w:footnote>
  <w:footnote w:id="5">
    <w:p w:rsidR="00486ABB" w:rsidRPr="009857B5" w:rsidRDefault="00486ABB" w:rsidP="00486ABB">
      <w:pPr>
        <w:pStyle w:val="Notedebasdepage"/>
        <w:rPr>
          <w:rFonts w:ascii="Arabic Typesetting" w:hAnsi="Arabic Typesetting" w:cs="Arabic Typesetting"/>
          <w:lang w:bidi="ar-DZ"/>
        </w:rPr>
      </w:pPr>
      <w:r w:rsidRPr="009857B5">
        <w:rPr>
          <w:rStyle w:val="Appelnotedebasdep"/>
          <w:rFonts w:ascii="Arabic Typesetting" w:hAnsi="Arabic Typesetting" w:cs="Arabic Typesetting"/>
          <w:sz w:val="32"/>
          <w:szCs w:val="32"/>
        </w:rPr>
        <w:footnoteRef/>
      </w:r>
      <w:r w:rsidRPr="009857B5">
        <w:rPr>
          <w:rFonts w:ascii="Arabic Typesetting" w:hAnsi="Arabic Typesetting" w:cs="Arabic Typesetting"/>
          <w:sz w:val="32"/>
          <w:szCs w:val="32"/>
          <w:rtl/>
        </w:rPr>
        <w:t>- سنن الدارقطني، رقم:4093.</w:t>
      </w:r>
    </w:p>
  </w:footnote>
  <w:footnote w:id="6">
    <w:p w:rsidR="00486ABB" w:rsidRDefault="00486ABB" w:rsidP="00486ABB">
      <w:pPr>
        <w:pStyle w:val="Notedebasdepage"/>
        <w:rPr>
          <w:lang w:bidi="ar-DZ"/>
        </w:rPr>
      </w:pPr>
      <w:r>
        <w:rPr>
          <w:rStyle w:val="Appelnotedebasdep"/>
        </w:rPr>
        <w:footnoteRef/>
      </w:r>
      <w:r>
        <w:rPr>
          <w:rFonts w:hint="cs"/>
          <w:rtl/>
        </w:rPr>
        <w:t>-</w:t>
      </w:r>
      <w:r w:rsidRPr="0075197F">
        <w:rPr>
          <w:rFonts w:ascii="Arabic Typesetting" w:hAnsi="Arabic Typesetting" w:cs="Arabic Typesetting" w:hint="cs"/>
          <w:color w:val="auto"/>
          <w:sz w:val="32"/>
          <w:szCs w:val="32"/>
          <w:rtl/>
          <w:lang w:val="fr-FR" w:eastAsia="en-US"/>
        </w:rPr>
        <w:t xml:space="preserve"> </w:t>
      </w:r>
      <w:r w:rsidRPr="00D82786">
        <w:rPr>
          <w:rFonts w:ascii="Arabic Typesetting" w:hAnsi="Arabic Typesetting" w:cs="Arabic Typesetting" w:hint="cs"/>
          <w:color w:val="auto"/>
          <w:sz w:val="32"/>
          <w:szCs w:val="32"/>
          <w:rtl/>
          <w:lang w:val="fr-FR" w:eastAsia="en-US"/>
        </w:rPr>
        <w:t>فضل عباس، إتقان البرهان، ج1، ص</w:t>
      </w:r>
      <w:r>
        <w:rPr>
          <w:rFonts w:ascii="Arabic Typesetting" w:hAnsi="Arabic Typesetting" w:cs="Arabic Typesetting" w:hint="cs"/>
          <w:color w:val="auto"/>
          <w:sz w:val="32"/>
          <w:szCs w:val="32"/>
          <w:rtl/>
          <w:lang w:val="fr-FR" w:eastAsia="en-US"/>
        </w:rPr>
        <w:t>316.</w:t>
      </w:r>
    </w:p>
  </w:footnote>
  <w:footnote w:id="7">
    <w:p w:rsidR="00486ABB" w:rsidRDefault="00486ABB" w:rsidP="00486ABB">
      <w:pPr>
        <w:pStyle w:val="Notedebasdepage"/>
        <w:rPr>
          <w:lang w:bidi="ar-DZ"/>
        </w:rPr>
      </w:pPr>
      <w:r>
        <w:rPr>
          <w:rStyle w:val="Appelnotedebasdep"/>
        </w:rPr>
        <w:footnoteRef/>
      </w:r>
      <w:r>
        <w:rPr>
          <w:rFonts w:hint="cs"/>
          <w:rtl/>
        </w:rPr>
        <w:t>- صحيح البخاري، رقم:1698.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486ABB"/>
    <w:rsid w:val="00486ABB"/>
    <w:rsid w:val="00C9224F"/>
    <w:rsid w:val="00F02E3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ABB"/>
    <w:pPr>
      <w:widowControl w:val="0"/>
      <w:bidi/>
      <w:spacing w:after="0" w:line="240" w:lineRule="auto"/>
      <w:ind w:firstLine="454"/>
      <w:jc w:val="both"/>
    </w:pPr>
    <w:rPr>
      <w:rFonts w:ascii="Times New Roman" w:eastAsia="Times New Roman" w:hAnsi="Times New Roman" w:cs="Traditional Arabic"/>
      <w:color w:val="000000"/>
      <w:sz w:val="36"/>
      <w:szCs w:val="36"/>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486ABB"/>
    <w:rPr>
      <w:rFonts w:cs="Traditional Arabic"/>
      <w:vertAlign w:val="superscript"/>
    </w:rPr>
  </w:style>
  <w:style w:type="paragraph" w:styleId="Notedebasdepage">
    <w:name w:val="footnote text"/>
    <w:basedOn w:val="Normal"/>
    <w:link w:val="NotedebasdepageCar"/>
    <w:uiPriority w:val="99"/>
    <w:rsid w:val="00486ABB"/>
    <w:pPr>
      <w:ind w:left="454" w:hanging="454"/>
    </w:pPr>
    <w:rPr>
      <w:sz w:val="28"/>
      <w:szCs w:val="28"/>
    </w:rPr>
  </w:style>
  <w:style w:type="character" w:customStyle="1" w:styleId="NotedebasdepageCar">
    <w:name w:val="Note de bas de page Car"/>
    <w:basedOn w:val="Policepardfaut"/>
    <w:link w:val="Notedebasdepage"/>
    <w:uiPriority w:val="99"/>
    <w:rsid w:val="00486ABB"/>
    <w:rPr>
      <w:rFonts w:ascii="Times New Roman" w:eastAsia="Times New Roman" w:hAnsi="Times New Roman" w:cs="Traditional Arabic"/>
      <w:color w:val="000000"/>
      <w:sz w:val="28"/>
      <w:szCs w:val="28"/>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3566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2025-03-18T00:00:00Z</dcterms:created>
  <dcterms:modified xsi:type="dcterms:W3CDTF">2025-03-18T00:00:00Z</dcterms:modified>
</cp:coreProperties>
</file>