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191" w:rsidRDefault="00964191" w:rsidP="00964191">
      <w:pPr>
        <w:bidi/>
        <w:spacing w:after="0" w:line="240" w:lineRule="auto"/>
        <w:jc w:val="center"/>
        <w:rPr>
          <w:rFonts w:ascii="Sakkal Majalla" w:hAnsi="Sakkal Majalla" w:cs="Sakkal Majalla"/>
          <w:b/>
          <w:bCs/>
          <w:sz w:val="32"/>
          <w:szCs w:val="32"/>
          <w:rtl/>
        </w:rPr>
      </w:pPr>
      <w:r w:rsidRPr="00AB4BB8">
        <w:rPr>
          <w:rFonts w:ascii="Sakkal Majalla" w:hAnsi="Sakkal Majalla" w:cs="Sakkal Majalla" w:hint="cs"/>
          <w:b/>
          <w:bCs/>
          <w:sz w:val="32"/>
          <w:szCs w:val="32"/>
          <w:rtl/>
        </w:rPr>
        <w:t xml:space="preserve">المحاضرة </w:t>
      </w:r>
      <w:r w:rsidRPr="00AB4BB8">
        <w:rPr>
          <w:rFonts w:ascii="Sakkal Majalla" w:hAnsi="Sakkal Majalla" w:cs="Sakkal Majalla"/>
          <w:b/>
          <w:bCs/>
          <w:sz w:val="32"/>
          <w:szCs w:val="32"/>
          <w:rtl/>
        </w:rPr>
        <w:t>(</w:t>
      </w:r>
      <w:r w:rsidRPr="00AB4BB8">
        <w:rPr>
          <w:rFonts w:ascii="Sakkal Majalla" w:hAnsi="Sakkal Majalla" w:cs="Sakkal Majalla" w:hint="cs"/>
          <w:b/>
          <w:bCs/>
          <w:sz w:val="32"/>
          <w:szCs w:val="32"/>
          <w:rtl/>
        </w:rPr>
        <w:t>0</w:t>
      </w:r>
      <w:r>
        <w:rPr>
          <w:rFonts w:ascii="Sakkal Majalla" w:hAnsi="Sakkal Majalla" w:cs="Sakkal Majalla" w:hint="cs"/>
          <w:b/>
          <w:bCs/>
          <w:sz w:val="32"/>
          <w:szCs w:val="32"/>
          <w:rtl/>
        </w:rPr>
        <w:t>6</w:t>
      </w:r>
      <w:r w:rsidRPr="00AB4BB8">
        <w:rPr>
          <w:rFonts w:ascii="Sakkal Majalla" w:hAnsi="Sakkal Majalla" w:cs="Sakkal Majalla" w:hint="cs"/>
          <w:b/>
          <w:bCs/>
          <w:sz w:val="32"/>
          <w:szCs w:val="32"/>
          <w:rtl/>
        </w:rPr>
        <w:t>): النظريات الحديثة حول الفن</w:t>
      </w:r>
      <w:r w:rsidRPr="00AB4BB8">
        <w:rPr>
          <w:rFonts w:ascii="Sakkal Majalla" w:hAnsi="Sakkal Majalla" w:cs="Sakkal Majalla"/>
          <w:b/>
          <w:bCs/>
          <w:sz w:val="32"/>
          <w:szCs w:val="32"/>
          <w:rtl/>
        </w:rPr>
        <w:t xml:space="preserve"> وعلم </w:t>
      </w:r>
      <w:r w:rsidRPr="00AB4BB8">
        <w:rPr>
          <w:rFonts w:ascii="Sakkal Majalla" w:hAnsi="Sakkal Majalla" w:cs="Sakkal Majalla" w:hint="cs"/>
          <w:b/>
          <w:bCs/>
          <w:sz w:val="32"/>
          <w:szCs w:val="32"/>
          <w:rtl/>
        </w:rPr>
        <w:t>الجمال</w:t>
      </w:r>
      <w:r>
        <w:rPr>
          <w:rFonts w:ascii="Sakkal Majalla" w:hAnsi="Sakkal Majalla" w:cs="Sakkal Majalla" w:hint="cs"/>
          <w:b/>
          <w:bCs/>
          <w:sz w:val="32"/>
          <w:szCs w:val="32"/>
          <w:rtl/>
        </w:rPr>
        <w:t xml:space="preserve"> </w:t>
      </w:r>
      <w:r>
        <w:rPr>
          <w:rFonts w:ascii="Sakkal Majalla" w:hAnsi="Sakkal Majalla" w:cs="Sakkal Majalla"/>
          <w:b/>
          <w:bCs/>
          <w:sz w:val="32"/>
          <w:szCs w:val="32"/>
          <w:rtl/>
        </w:rPr>
        <w:t>(</w:t>
      </w:r>
      <w:r>
        <w:rPr>
          <w:rFonts w:ascii="Sakkal Majalla" w:hAnsi="Sakkal Majalla" w:cs="Sakkal Majalla" w:hint="cs"/>
          <w:b/>
          <w:bCs/>
          <w:sz w:val="32"/>
          <w:szCs w:val="32"/>
          <w:rtl/>
        </w:rPr>
        <w:t>02)</w:t>
      </w:r>
    </w:p>
    <w:p w:rsidR="00964191" w:rsidRPr="00AB4BB8" w:rsidRDefault="00964191" w:rsidP="00964191">
      <w:pPr>
        <w:bidi/>
        <w:spacing w:after="0" w:line="240" w:lineRule="auto"/>
        <w:jc w:val="center"/>
        <w:rPr>
          <w:rFonts w:ascii="Sakkal Majalla" w:hAnsi="Sakkal Majalla" w:cs="Sakkal Majalla"/>
          <w:b/>
          <w:bCs/>
          <w:sz w:val="32"/>
          <w:szCs w:val="32"/>
          <w:rtl/>
        </w:rPr>
      </w:pPr>
    </w:p>
    <w:p w:rsidR="00964191" w:rsidRPr="00194C65" w:rsidRDefault="00964191" w:rsidP="00964191">
      <w:pPr>
        <w:bidi/>
        <w:spacing w:after="0" w:line="240" w:lineRule="auto"/>
        <w:jc w:val="both"/>
        <w:rPr>
          <w:rFonts w:ascii="Sakkal Majalla" w:hAnsi="Sakkal Majalla" w:cs="Sakkal Majalla"/>
          <w:b/>
          <w:bCs/>
          <w:sz w:val="32"/>
          <w:szCs w:val="32"/>
        </w:rPr>
      </w:pPr>
      <w:r>
        <w:rPr>
          <w:rFonts w:ascii="Sakkal Majalla" w:hAnsi="Sakkal Majalla" w:cs="Sakkal Majalla" w:hint="cs"/>
          <w:b/>
          <w:bCs/>
          <w:sz w:val="32"/>
          <w:szCs w:val="32"/>
          <w:rtl/>
        </w:rPr>
        <w:t>3-</w:t>
      </w:r>
      <w:r w:rsidRPr="00194C65">
        <w:rPr>
          <w:rFonts w:ascii="Sakkal Majalla" w:hAnsi="Sakkal Majalla" w:cs="Sakkal Majalla"/>
          <w:b/>
          <w:bCs/>
          <w:sz w:val="32"/>
          <w:szCs w:val="32"/>
          <w:rtl/>
        </w:rPr>
        <w:t>أرتور شوبنهاور</w:t>
      </w:r>
      <w:r w:rsidRPr="00194C65">
        <w:rPr>
          <w:rFonts w:ascii="Sakkal Majalla" w:hAnsi="Sakkal Majalla" w:cs="Sakkal Majalla"/>
          <w:b/>
          <w:bCs/>
          <w:sz w:val="32"/>
          <w:szCs w:val="32"/>
        </w:rPr>
        <w:t xml:space="preserve"> Arthur Schopenhauer</w:t>
      </w:r>
    </w:p>
    <w:p w:rsidR="00964191" w:rsidRPr="00206844" w:rsidRDefault="00964191" w:rsidP="00964191">
      <w:pPr>
        <w:bidi/>
        <w:spacing w:after="0" w:line="240" w:lineRule="auto"/>
        <w:jc w:val="both"/>
        <w:rPr>
          <w:rFonts w:ascii="Sakkal Majalla" w:hAnsi="Sakkal Majalla" w:cs="Sakkal Majalla"/>
          <w:sz w:val="32"/>
          <w:szCs w:val="32"/>
        </w:rPr>
      </w:pPr>
      <w:r w:rsidRPr="00206844">
        <w:rPr>
          <w:rFonts w:ascii="Sakkal Majalla" w:hAnsi="Sakkal Majalla" w:cs="Sakkal Majalla"/>
          <w:sz w:val="32"/>
          <w:szCs w:val="32"/>
          <w:rtl/>
        </w:rPr>
        <w:t>طرح الفيلسوف الألماني شوبنهاور ( 1860-1788) المعروف بفلسفته التشاؤمية أفكارا وطروحات نظرية بخصوص الظاهرة الجمالية؛ ومن أفكاره الهامة في هذا الصدد، أطروحته القائلة بأن: "الفن والأخلاق هما وسيلتان للتحرر من الإحساس بالألم والشعور بالوجود". فالفن في نظر شوبنهاور هو ممارسة تقود إلى الحرية والتحرر من القيود التي تفرضها الحياة وآلامها على الإنسان. وفي هذا الصدد، سنستعرض بعضا َّ من الأفكار الرئيسة التي علق عليها شوبنهاور، وخاصة في تصنيفه للفنون الجميلة دون الوقوف عند تفاصيلها الدقيقة.</w:t>
      </w:r>
    </w:p>
    <w:p w:rsidR="00964191" w:rsidRPr="00206844" w:rsidRDefault="00964191" w:rsidP="00964191">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البداية مع ما يراه شوبنهاور بخصوص فن العمارة بقوله: "الصراع</w:t>
      </w:r>
      <w:r>
        <w:rPr>
          <w:rFonts w:ascii="Sakkal Majalla" w:hAnsi="Sakkal Majalla" w:cs="Sakkal Majalla"/>
          <w:sz w:val="32"/>
          <w:szCs w:val="32"/>
          <w:rtl/>
        </w:rPr>
        <w:t xml:space="preserve"> بين الجاذبية والسكون هو، بكلام</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دقيق، المادة الجمالية الوحيدة في العمارة؛ ولذا فمشكلة العمارة إ</w:t>
      </w:r>
      <w:r>
        <w:rPr>
          <w:rFonts w:ascii="Sakkal Majalla" w:hAnsi="Sakkal Majalla" w:cs="Sakkal Majalla"/>
          <w:sz w:val="32"/>
          <w:szCs w:val="32"/>
          <w:rtl/>
        </w:rPr>
        <w:t>نما هي في تبيان ذلك الصراع بطرق</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متعددة ومتنوعة... العمارة لا تؤثر فينا بأبعادها الرياضية وحسب، وإنما ببعدها الديناميكي كذلك</w:t>
      </w:r>
      <w:r w:rsidRPr="00206844">
        <w:rPr>
          <w:rFonts w:ascii="Sakkal Majalla" w:hAnsi="Sakkal Majalla" w:cs="Sakkal Majalla"/>
          <w:sz w:val="32"/>
          <w:szCs w:val="32"/>
        </w:rPr>
        <w:t>...</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وما تقوله في ذلك ليس مجرد الشكل والتناسق وإنما تلك القوى الأساسية في الطبيعة، تلك الأفك</w:t>
      </w:r>
      <w:r>
        <w:rPr>
          <w:rFonts w:ascii="Sakkal Majalla" w:hAnsi="Sakkal Majalla" w:cs="Sakkal Majalla"/>
          <w:sz w:val="32"/>
          <w:szCs w:val="32"/>
          <w:rtl/>
        </w:rPr>
        <w:t>ار</w:t>
      </w: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الأولى، تلك الدرجات الدنيا من تجسد الإرادة" </w:t>
      </w:r>
      <w:r>
        <w:rPr>
          <w:rFonts w:ascii="Sakkal Majalla" w:hAnsi="Sakkal Majalla" w:cs="Sakkal Majalla"/>
          <w:sz w:val="32"/>
          <w:szCs w:val="32"/>
          <w:rtl/>
        </w:rPr>
        <w:t>لذلك يعد الفن عند</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شوبنهاور مشروطا بالإرادة والفكر، وليس المطلق كما في فلسفة هيجل المتمثلة في المثالية المطلقة</w:t>
      </w:r>
      <w:r w:rsidRPr="00206844">
        <w:rPr>
          <w:rFonts w:ascii="Sakkal Majalla" w:hAnsi="Sakkal Majalla" w:cs="Sakkal Majalla"/>
          <w:sz w:val="32"/>
          <w:szCs w:val="32"/>
        </w:rPr>
        <w:t>.</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أما بخصوص التراجيديا فيرى شوبنهاور أنها: "أعلى أنواع الفن الشعري. ه</w:t>
      </w:r>
      <w:r>
        <w:rPr>
          <w:rFonts w:ascii="Sakkal Majalla" w:hAnsi="Sakkal Majalla" w:cs="Sakkal Majalla"/>
          <w:sz w:val="32"/>
          <w:szCs w:val="32"/>
          <w:rtl/>
        </w:rPr>
        <w:t>ي تمثيل للجانب المرعب</w:t>
      </w: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من الحياة، وللصراع الشامل بين الإرادة وذاتها في أعلى مستويات تجسده" </w:t>
      </w:r>
      <w:r>
        <w:rPr>
          <w:rStyle w:val="Appelnotedebasdep"/>
          <w:rFonts w:ascii="Sakkal Majalla" w:hAnsi="Sakkal Majalla" w:cs="Sakkal Majalla"/>
          <w:sz w:val="32"/>
          <w:szCs w:val="32"/>
          <w:rtl/>
        </w:rPr>
        <w:footnoteReference w:id="1"/>
      </w:r>
    </w:p>
    <w:p w:rsidR="00964191" w:rsidRPr="00206844" w:rsidRDefault="00964191" w:rsidP="00964191">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فالتراجيديا هي نوع المعاناة النابعة من الحياة ومشقاتها، وقد لا تكون كذلك حينما تظهر لنا معنى الشقاوة في حيوات الناس وتكسبنا من خلالها فكرة تعليمية </w:t>
      </w:r>
      <w:r>
        <w:rPr>
          <w:rFonts w:ascii="Sakkal Majalla" w:hAnsi="Sakkal Majalla" w:cs="Sakkal Majalla" w:hint="cs"/>
          <w:sz w:val="32"/>
          <w:szCs w:val="32"/>
          <w:rtl/>
        </w:rPr>
        <w:t>يستفاد</w:t>
      </w:r>
      <w:r>
        <w:rPr>
          <w:rFonts w:ascii="Sakkal Majalla" w:hAnsi="Sakkal Majalla" w:cs="Sakkal Majalla"/>
          <w:sz w:val="32"/>
          <w:szCs w:val="32"/>
          <w:rtl/>
        </w:rPr>
        <w:t xml:space="preserve"> ُ منها، أو في أنها ت</w:t>
      </w:r>
      <w:r w:rsidRPr="00206844">
        <w:rPr>
          <w:rFonts w:ascii="Sakkal Majalla" w:hAnsi="Sakkal Majalla" w:cs="Sakkal Majalla"/>
          <w:sz w:val="32"/>
          <w:szCs w:val="32"/>
          <w:rtl/>
        </w:rPr>
        <w:t xml:space="preserve">حسسنا بقيمة السعادة أمام ما تجسده من آلام في حياة الآخرين. لذلك، لا يمكننا أن </w:t>
      </w:r>
      <w:r>
        <w:rPr>
          <w:rFonts w:ascii="Sakkal Majalla" w:hAnsi="Sakkal Majalla" w:cs="Sakkal Majalla" w:hint="cs"/>
          <w:sz w:val="32"/>
          <w:szCs w:val="32"/>
          <w:rtl/>
        </w:rPr>
        <w:t>نقر</w:t>
      </w:r>
      <w:r>
        <w:rPr>
          <w:rFonts w:ascii="Sakkal Majalla" w:hAnsi="Sakkal Majalla" w:cs="Sakkal Majalla"/>
          <w:sz w:val="32"/>
          <w:szCs w:val="32"/>
          <w:rtl/>
        </w:rPr>
        <w:t xml:space="preserve"> دائما بقساوة الأشياء، فقد</w:t>
      </w:r>
      <w:r>
        <w:rPr>
          <w:rFonts w:ascii="Sakkal Majalla" w:hAnsi="Sakkal Majalla" w:cs="Sakkal Majalla" w:hint="cs"/>
          <w:sz w:val="32"/>
          <w:szCs w:val="32"/>
          <w:rtl/>
        </w:rPr>
        <w:t xml:space="preserve"> </w:t>
      </w:r>
      <w:r w:rsidRPr="00206844">
        <w:rPr>
          <w:rFonts w:ascii="Sakkal Majalla" w:hAnsi="Sakkal Majalla" w:cs="Sakkal Majalla"/>
          <w:sz w:val="32"/>
          <w:szCs w:val="32"/>
          <w:rtl/>
        </w:rPr>
        <w:t>تكون بمثابة لحظة نتساءل فيها عن المعنى الحقيقي للحياة، ومن ثم، نتأمل لنسمو بأفكارنا إلى ما يستحق الاهتمام والأفضلية</w:t>
      </w:r>
      <w:r w:rsidRPr="00206844">
        <w:rPr>
          <w:rFonts w:ascii="Sakkal Majalla" w:hAnsi="Sakkal Majalla" w:cs="Sakkal Majalla"/>
          <w:sz w:val="32"/>
          <w:szCs w:val="32"/>
        </w:rPr>
        <w:t>.</w:t>
      </w:r>
    </w:p>
    <w:p w:rsidR="00964191" w:rsidRPr="00206844" w:rsidRDefault="00964191" w:rsidP="00964191">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وفي فن الموسيقى يرى شوبنهاور على أنه أعلى مراتب الفنون، بل هو أكثر من ذلك، لأنه يتيح لنا الإحساس والشعور بالأشياء المجردة؛ "فالموسيقى في رأي شوبنهاور ليست كالفنون الأخرى في كونها صورة للمثل الأفلاطونية؛ وإنما هي صورة للإرادة نفسها، التي تعد المثل مظهرا ً موضوعيا لها. لهذا كان تأثير الموسيقى أقوى وأعمق بكثير من تأثير الفنون الأخرى، إذ إن هذه الفنون الأخرى لا تتحدث إلا عن مظاهر، على حين أن الموسيقى تتحدث عن الشيء في ذاته"</w:t>
      </w:r>
      <w:r>
        <w:rPr>
          <w:rFonts w:ascii="Sakkal Majalla" w:hAnsi="Sakkal Majalla" w:cs="Sakkal Majalla" w:hint="cs"/>
          <w:sz w:val="32"/>
          <w:szCs w:val="32"/>
          <w:rtl/>
        </w:rPr>
        <w:t>.</w:t>
      </w:r>
      <w:r>
        <w:rPr>
          <w:rStyle w:val="Appelnotedebasdep"/>
          <w:rFonts w:ascii="Sakkal Majalla" w:hAnsi="Sakkal Majalla" w:cs="Sakkal Majalla"/>
          <w:sz w:val="32"/>
          <w:szCs w:val="32"/>
          <w:rtl/>
        </w:rPr>
        <w:footnoteReference w:id="2"/>
      </w:r>
    </w:p>
    <w:p w:rsidR="00964191" w:rsidRPr="00206844" w:rsidRDefault="00964191" w:rsidP="00964191">
      <w:pPr>
        <w:bidi/>
        <w:spacing w:after="0" w:line="240" w:lineRule="auto"/>
        <w:jc w:val="both"/>
        <w:rPr>
          <w:rFonts w:ascii="Sakkal Majalla" w:hAnsi="Sakkal Majalla" w:cs="Sakkal Majalla"/>
          <w:sz w:val="32"/>
          <w:szCs w:val="32"/>
        </w:rPr>
      </w:pPr>
      <w:r w:rsidRPr="00206844">
        <w:rPr>
          <w:rFonts w:ascii="Sakkal Majalla" w:hAnsi="Sakkal Majalla" w:cs="Sakkal Majalla"/>
          <w:sz w:val="32"/>
          <w:szCs w:val="32"/>
          <w:rtl/>
        </w:rPr>
        <w:lastRenderedPageBreak/>
        <w:t>ولهذا بالذات، حصلت الموسيقى على درجة الأفضلية لدى شوبنهاور؛ ولأنها تخاطب مدركاتنا وأحاسيسنا، نجدها دائما ً حاضرة حتى في الفنون الأخرى؛ فمثلا نجدها في الفيلم السينمائي كما نجدها في العرض المسرحي، ونجدها فقرة مصاحبة للقراءة الشعرية كما نجدها متجسدة –كمحرك ديناميكي- ِّ في فنون الرقص والتعبير الجسدي. فهي الموسيقى التي تعبر عن همومنا وقضايانا الإنسانية، كما أنها تعبر لنا عن الأشياء الملموسة والمادية بما هو غير ملموس.</w:t>
      </w:r>
    </w:p>
    <w:p w:rsidR="00964191" w:rsidRPr="00206844" w:rsidRDefault="00964191" w:rsidP="00964191">
      <w:pPr>
        <w:bidi/>
        <w:spacing w:after="0" w:line="240" w:lineRule="auto"/>
        <w:jc w:val="both"/>
        <w:rPr>
          <w:rFonts w:ascii="Sakkal Majalla" w:hAnsi="Sakkal Majalla" w:cs="Sakkal Majalla"/>
          <w:b/>
          <w:bCs/>
          <w:sz w:val="32"/>
          <w:szCs w:val="32"/>
        </w:rPr>
      </w:pPr>
      <w:r>
        <w:rPr>
          <w:rFonts w:ascii="Sakkal Majalla" w:hAnsi="Sakkal Majalla" w:cs="Sakkal Majalla" w:hint="cs"/>
          <w:b/>
          <w:bCs/>
          <w:sz w:val="32"/>
          <w:szCs w:val="32"/>
          <w:rtl/>
        </w:rPr>
        <w:t>4-</w:t>
      </w:r>
      <w:r w:rsidRPr="00206844">
        <w:rPr>
          <w:rFonts w:ascii="Sakkal Majalla" w:hAnsi="Sakkal Majalla" w:cs="Sakkal Majalla"/>
          <w:b/>
          <w:bCs/>
          <w:sz w:val="32"/>
          <w:szCs w:val="32"/>
          <w:rtl/>
        </w:rPr>
        <w:t>بينيدتو كروتشه</w:t>
      </w:r>
      <w:r w:rsidRPr="00206844">
        <w:rPr>
          <w:rFonts w:ascii="Sakkal Majalla" w:hAnsi="Sakkal Majalla" w:cs="Sakkal Majalla"/>
          <w:b/>
          <w:bCs/>
          <w:sz w:val="32"/>
          <w:szCs w:val="32"/>
        </w:rPr>
        <w:t xml:space="preserve"> Benedetto Croce</w:t>
      </w:r>
    </w:p>
    <w:p w:rsidR="00964191" w:rsidRPr="00206844" w:rsidRDefault="00964191" w:rsidP="00964191">
      <w:pPr>
        <w:bidi/>
        <w:spacing w:after="0" w:line="240" w:lineRule="auto"/>
        <w:jc w:val="both"/>
        <w:rPr>
          <w:rFonts w:ascii="Sakkal Majalla" w:hAnsi="Sakkal Majalla" w:cs="Sakkal Majalla"/>
          <w:sz w:val="32"/>
          <w:szCs w:val="32"/>
        </w:rPr>
      </w:pPr>
      <w:r>
        <w:rPr>
          <w:rFonts w:ascii="Sakkal Majalla" w:hAnsi="Sakkal Majalla" w:cs="Sakkal Majalla"/>
          <w:sz w:val="32"/>
          <w:szCs w:val="32"/>
          <w:rtl/>
        </w:rPr>
        <w:t>قد</w:t>
      </w:r>
      <w:r w:rsidRPr="00206844">
        <w:rPr>
          <w:rFonts w:ascii="Sakkal Majalla" w:hAnsi="Sakkal Majalla" w:cs="Sakkal Majalla"/>
          <w:sz w:val="32"/>
          <w:szCs w:val="32"/>
          <w:rtl/>
        </w:rPr>
        <w:t xml:space="preserve">م الفيلسوف الإيطالي كروتشه </w:t>
      </w:r>
      <w:r w:rsidRPr="00206844">
        <w:rPr>
          <w:rFonts w:ascii="Sakkal Majalla" w:hAnsi="Sakkal Majalla" w:cs="Sakkal Majalla" w:hint="cs"/>
          <w:sz w:val="32"/>
          <w:szCs w:val="32"/>
          <w:rtl/>
        </w:rPr>
        <w:t>(1866</w:t>
      </w:r>
      <w:r w:rsidRPr="00206844">
        <w:rPr>
          <w:rFonts w:ascii="Sakkal Majalla" w:hAnsi="Sakkal Majalla" w:cs="Sakkal Majalla"/>
          <w:sz w:val="32"/>
          <w:szCs w:val="32"/>
          <w:rtl/>
        </w:rPr>
        <w:t xml:space="preserve"> -1952) إسهامات معرفية غنية حول الفن والجماليات من خلال كتابين أساسين، الاستطيقا بوصفها علم التعبير أو علم المعاني العام"، ثم الكتاب الثاني موسوما بــ"المجمل في فلسفة الفن"؛ هذين الكتابين يضمان أهم أفكاره وتصوراته النقدية بشأن أسس الفن ومفاهيمه ومكانته في الفكر والمجتمع الإنساني، وأهم القضايا الجمالية ذات الصلة بالفن وقضاياه الفكرية والثقافية والإبداعية، ناهيك عن تقديمه لمجموعة هامة من الطروحات النقدية في قضية التأريخ للفن ولفلسفته.</w:t>
      </w:r>
    </w:p>
    <w:p w:rsidR="00964191" w:rsidRPr="00206844" w:rsidRDefault="00964191" w:rsidP="00964191">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الفن في نظر كروتشه هو: "</w:t>
      </w:r>
      <w:r w:rsidRPr="00206844">
        <w:rPr>
          <w:rFonts w:ascii="Sakkal Majalla" w:hAnsi="Sakkal Majalla" w:cs="Sakkal Majalla" w:hint="cs"/>
          <w:sz w:val="32"/>
          <w:szCs w:val="32"/>
          <w:rtl/>
        </w:rPr>
        <w:t>عيان</w:t>
      </w:r>
      <w:r w:rsidRPr="00206844">
        <w:rPr>
          <w:rFonts w:ascii="Sakkal Majalla" w:hAnsi="Sakkal Majalla" w:cs="Sakkal Majalla"/>
          <w:sz w:val="32"/>
          <w:szCs w:val="32"/>
        </w:rPr>
        <w:t xml:space="preserve"> Vision</w:t>
      </w:r>
      <w:r>
        <w:rPr>
          <w:rFonts w:ascii="Sakkal Majalla" w:hAnsi="Sakkal Majalla" w:cs="Sakkal Majalla"/>
          <w:sz w:val="32"/>
          <w:szCs w:val="32"/>
          <w:rtl/>
        </w:rPr>
        <w:t>أو</w:t>
      </w:r>
      <w:r>
        <w:rPr>
          <w:rFonts w:ascii="Sakkal Majalla" w:hAnsi="Sakkal Majalla" w:cs="Sakkal Majalla" w:hint="cs"/>
          <w:sz w:val="32"/>
          <w:szCs w:val="32"/>
          <w:rtl/>
        </w:rPr>
        <w:t xml:space="preserve"> </w:t>
      </w:r>
      <w:r w:rsidRPr="00206844">
        <w:rPr>
          <w:rFonts w:ascii="Sakkal Majalla" w:hAnsi="Sakkal Majalla" w:cs="Sakkal Majalla" w:hint="cs"/>
          <w:sz w:val="32"/>
          <w:szCs w:val="32"/>
          <w:rtl/>
        </w:rPr>
        <w:t>حدس</w:t>
      </w:r>
      <w:r w:rsidRPr="00206844">
        <w:rPr>
          <w:rFonts w:ascii="Sakkal Majalla" w:hAnsi="Sakkal Majalla" w:cs="Sakkal Majalla"/>
          <w:sz w:val="32"/>
          <w:szCs w:val="32"/>
        </w:rPr>
        <w:t>."intuition</w:t>
      </w:r>
      <w:r w:rsidRPr="00206844">
        <w:rPr>
          <w:rFonts w:ascii="Sakkal Majalla" w:hAnsi="Sakkal Majalla" w:cs="Sakkal Majalla"/>
          <w:sz w:val="32"/>
          <w:szCs w:val="32"/>
          <w:rtl/>
        </w:rPr>
        <w:t xml:space="preserve">والحق أن ما يقدمه لنا الفنان إنما هو </w:t>
      </w:r>
      <w:r w:rsidRPr="00206844">
        <w:rPr>
          <w:rFonts w:ascii="Sakkal Majalla" w:hAnsi="Sakkal Majalla" w:cs="Sakkal Majalla" w:hint="cs"/>
          <w:sz w:val="32"/>
          <w:szCs w:val="32"/>
          <w:rtl/>
        </w:rPr>
        <w:t>صورة</w:t>
      </w:r>
      <w:r w:rsidRPr="00206844">
        <w:rPr>
          <w:rFonts w:ascii="Sakkal Majalla" w:hAnsi="Sakkal Majalla" w:cs="Sakkal Majalla"/>
          <w:sz w:val="32"/>
          <w:szCs w:val="32"/>
        </w:rPr>
        <w:t xml:space="preserve"> image</w:t>
      </w:r>
      <w:r w:rsidRPr="00206844">
        <w:rPr>
          <w:rFonts w:ascii="Sakkal Majalla" w:hAnsi="Sakkal Majalla" w:cs="Sakkal Majalla"/>
          <w:sz w:val="32"/>
          <w:szCs w:val="32"/>
          <w:rtl/>
        </w:rPr>
        <w:t xml:space="preserve">أو شكل </w:t>
      </w:r>
      <w:r w:rsidRPr="00206844">
        <w:rPr>
          <w:rFonts w:ascii="Sakkal Majalla" w:hAnsi="Sakkal Majalla" w:cs="Sakkal Majalla" w:hint="cs"/>
          <w:sz w:val="32"/>
          <w:szCs w:val="32"/>
          <w:rtl/>
        </w:rPr>
        <w:t xml:space="preserve">وهمي، </w:t>
      </w:r>
      <w:r>
        <w:rPr>
          <w:rFonts w:ascii="Sakkal Majalla" w:hAnsi="Sakkal Majalla" w:cs="Sakkal Majalla" w:hint="cs"/>
          <w:sz w:val="32"/>
          <w:szCs w:val="32"/>
          <w:rtl/>
        </w:rPr>
        <w:t xml:space="preserve"> </w:t>
      </w:r>
      <w:r>
        <w:rPr>
          <w:rFonts w:ascii="Sakkal Majalla" w:hAnsi="Sakkal Majalla" w:cs="Sakkal Majalla"/>
          <w:sz w:val="32"/>
          <w:szCs w:val="32"/>
        </w:rPr>
        <w:t xml:space="preserve"> </w:t>
      </w:r>
      <w:r w:rsidRPr="00206844">
        <w:rPr>
          <w:rFonts w:ascii="Sakkal Majalla" w:hAnsi="Sakkal Majalla" w:cs="Sakkal Majalla" w:hint="cs"/>
          <w:sz w:val="32"/>
          <w:szCs w:val="32"/>
        </w:rPr>
        <w:t>fantôme</w:t>
      </w:r>
      <w:r w:rsidRPr="00206844">
        <w:rPr>
          <w:rFonts w:ascii="Sakkal Majalla" w:hAnsi="Sakkal Majalla" w:cs="Sakkal Majalla"/>
          <w:sz w:val="32"/>
          <w:szCs w:val="32"/>
          <w:rtl/>
        </w:rPr>
        <w:t xml:space="preserve">ومن هنا فإن كل من يتذوق إنما يدير بصره نحو تلك الجهة التي يدله عليها الفنان، لكي ينظر من النافذة التي أعدها له الفنان، محاولاً ً أن يعيد تكوين تلك الصورة في نفسه. ولا يرى كروتشه مانعا من أن يضع جنبا إلى جنب كلمات "العيان" و"الحدس"، و"التأمل"، و"التخيل"، و"التوهم"، و"التمثيل"... باعتبارها جميعا مترادفات تترد باستمرار على ألسنة الناس عند حديثهم عن الفن" </w:t>
      </w:r>
      <w:r>
        <w:rPr>
          <w:rFonts w:ascii="Sakkal Majalla" w:hAnsi="Sakkal Majalla" w:cs="Sakkal Majalla" w:hint="cs"/>
          <w:sz w:val="32"/>
          <w:szCs w:val="32"/>
          <w:rtl/>
        </w:rPr>
        <w:t>.</w:t>
      </w:r>
    </w:p>
    <w:p w:rsidR="00964191" w:rsidRPr="00206844" w:rsidRDefault="00964191" w:rsidP="00964191">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يحدد كروتشه وظيفة الفن -من خلال ما يقدمه الفنان للمتلقي- في أنه أ</w:t>
      </w:r>
      <w:r>
        <w:rPr>
          <w:rFonts w:ascii="Sakkal Majalla" w:hAnsi="Sakkal Majalla" w:cs="Sakkal Majalla"/>
          <w:sz w:val="32"/>
          <w:szCs w:val="32"/>
          <w:rtl/>
        </w:rPr>
        <w:t>داة تواصل بين الأفراد، اعتبارا</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لما يبدعه الفنان للمتلقي، وما يدفع هذا الأخير</w:t>
      </w:r>
      <w:r>
        <w:rPr>
          <w:rFonts w:ascii="Sakkal Majalla" w:hAnsi="Sakkal Majalla" w:cs="Sakkal Majalla"/>
          <w:sz w:val="32"/>
          <w:szCs w:val="32"/>
          <w:rtl/>
        </w:rPr>
        <w:t xml:space="preserve"> إلى التذوق الجمالي لإبداعه الم</w:t>
      </w:r>
      <w:r>
        <w:rPr>
          <w:rFonts w:ascii="Sakkal Majalla" w:hAnsi="Sakkal Majalla" w:cs="Sakkal Majalla" w:hint="cs"/>
          <w:sz w:val="32"/>
          <w:szCs w:val="32"/>
          <w:rtl/>
        </w:rPr>
        <w:t>ن</w:t>
      </w:r>
      <w:r w:rsidRPr="00206844">
        <w:rPr>
          <w:rFonts w:ascii="Sakkal Majalla" w:hAnsi="Sakkal Majalla" w:cs="Sakkal Majalla"/>
          <w:sz w:val="32"/>
          <w:szCs w:val="32"/>
          <w:rtl/>
        </w:rPr>
        <w:t>تج، وبالتالي يغدو التواصل هنا قائما بين الفنان والمتلقي من خلال (قناة التواصل) المحددة في الأثر ا</w:t>
      </w:r>
      <w:r>
        <w:rPr>
          <w:rFonts w:ascii="Sakkal Majalla" w:hAnsi="Sakkal Majalla" w:cs="Sakkal Majalla"/>
          <w:sz w:val="32"/>
          <w:szCs w:val="32"/>
          <w:rtl/>
        </w:rPr>
        <w:t>لفني الذي يخلقه الفنان (المرسل)</w:t>
      </w:r>
      <w:r>
        <w:rPr>
          <w:rFonts w:ascii="Sakkal Majalla" w:hAnsi="Sakkal Majalla" w:cs="Sakkal Majalla" w:hint="cs"/>
          <w:sz w:val="32"/>
          <w:szCs w:val="32"/>
          <w:rtl/>
        </w:rPr>
        <w:t xml:space="preserve"> </w:t>
      </w:r>
      <w:r>
        <w:rPr>
          <w:rFonts w:ascii="Sakkal Majalla" w:hAnsi="Sakkal Majalla" w:cs="Sakkal Majalla"/>
          <w:sz w:val="32"/>
          <w:szCs w:val="32"/>
          <w:rtl/>
        </w:rPr>
        <w:t xml:space="preserve">إلى متلق يسمى </w:t>
      </w:r>
      <w:r>
        <w:rPr>
          <w:rFonts w:ascii="Sakkal Majalla" w:hAnsi="Sakkal Majalla" w:cs="Sakkal Majalla" w:hint="cs"/>
          <w:sz w:val="32"/>
          <w:szCs w:val="32"/>
          <w:rtl/>
        </w:rPr>
        <w:t>(المرسل</w:t>
      </w:r>
      <w:r w:rsidRPr="00206844">
        <w:rPr>
          <w:rFonts w:ascii="Sakkal Majalla" w:hAnsi="Sakkal Majalla" w:cs="Sakkal Majalla"/>
          <w:sz w:val="32"/>
          <w:szCs w:val="32"/>
          <w:rtl/>
        </w:rPr>
        <w:t xml:space="preserve"> إليه) بالمفهوم المنطقي </w:t>
      </w:r>
      <w:r>
        <w:rPr>
          <w:rFonts w:ascii="Sakkal Majalla" w:hAnsi="Sakkal Majalla" w:cs="Sakkal Majalla"/>
          <w:sz w:val="32"/>
          <w:szCs w:val="32"/>
          <w:rtl/>
        </w:rPr>
        <w:t>للتواصل. وفي إطار هذه العملية ي</w:t>
      </w:r>
      <w:r w:rsidRPr="00206844">
        <w:rPr>
          <w:rFonts w:ascii="Sakkal Majalla" w:hAnsi="Sakkal Majalla" w:cs="Sakkal Majalla"/>
          <w:sz w:val="32"/>
          <w:szCs w:val="32"/>
          <w:rtl/>
        </w:rPr>
        <w:t>حدث التلقي الذي يقع فيه التأويل وإعادة بناء المعنى للأفكار والموضوعات التي يحددها العمل الفني من قبيل المتلقي، والذي بدوره يعيد تشكيل الصورة في نفسه كما أقر بذلك كروتشه</w:t>
      </w:r>
      <w:r w:rsidRPr="00206844">
        <w:rPr>
          <w:rFonts w:ascii="Sakkal Majalla" w:hAnsi="Sakkal Majalla" w:cs="Sakkal Majalla"/>
          <w:sz w:val="32"/>
          <w:szCs w:val="32"/>
        </w:rPr>
        <w:t>.</w:t>
      </w:r>
    </w:p>
    <w:p w:rsidR="00964191" w:rsidRDefault="00964191" w:rsidP="00964191">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وفي سياق آخر، يحاول كروتشه جاهدا أن ينزع توصيف الفن بالظاهرة الطبيعية بقوله: "فقد لزم ألا يكون ظاهرة فيزيائية أو واقعة طبيعية</w:t>
      </w:r>
      <w:r w:rsidRPr="00206844">
        <w:rPr>
          <w:rFonts w:ascii="Sakkal Majalla" w:hAnsi="Sakkal Majalla" w:cs="Sakkal Majalla"/>
          <w:sz w:val="32"/>
          <w:szCs w:val="32"/>
        </w:rPr>
        <w:t>. Fait physique</w:t>
      </w:r>
      <w:r w:rsidRPr="00206844">
        <w:rPr>
          <w:rFonts w:ascii="Sakkal Majalla" w:hAnsi="Sakkal Majalla" w:cs="Sakkal Majalla"/>
          <w:sz w:val="32"/>
          <w:szCs w:val="32"/>
          <w:rtl/>
        </w:rPr>
        <w:t>ومعنى هذا أن الفن لا يمكن أن يوضع على قدم المساواة مع الظواهر الطبيعية (كالضوء أو الصوت أو الكهرباء أو الحرارة أو ما إلى ذلك")</w:t>
      </w:r>
      <w:r>
        <w:rPr>
          <w:rStyle w:val="Appelnotedebasdep"/>
          <w:rFonts w:ascii="Sakkal Majalla" w:hAnsi="Sakkal Majalla" w:cs="Sakkal Majalla"/>
          <w:sz w:val="32"/>
          <w:szCs w:val="32"/>
          <w:rtl/>
        </w:rPr>
        <w:footnoteReference w:id="3"/>
      </w:r>
      <w:r w:rsidRPr="00206844">
        <w:rPr>
          <w:rFonts w:ascii="Sakkal Majalla" w:hAnsi="Sakkal Majalla" w:cs="Sakkal Majalla"/>
          <w:sz w:val="32"/>
          <w:szCs w:val="32"/>
          <w:rtl/>
        </w:rPr>
        <w:t xml:space="preserve"> </w:t>
      </w:r>
    </w:p>
    <w:p w:rsidR="00964191" w:rsidRPr="00206844" w:rsidRDefault="00964191" w:rsidP="00964191">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والملاحظ هنا أن كروتشه يحاول إبعاد قدر الإمكان صلة الفن عن الظاهرة الطبيعية، كما أنه -في هذا الإطار- لا ينظر إلى الإبداع الفني من منظور التجربة الدقيقة، وأنه واقعة قابلة للقياس كما هو الحال في العلوم؛ لذلك اتجهت معظم طروحاته النقدية صوب معارضة مؤيدي الطرح الذي </w:t>
      </w:r>
      <w:r>
        <w:rPr>
          <w:rFonts w:ascii="Sakkal Majalla" w:hAnsi="Sakkal Majalla" w:cs="Sakkal Majalla" w:hint="cs"/>
          <w:sz w:val="32"/>
          <w:szCs w:val="32"/>
          <w:rtl/>
          <w:lang w:bidi="ar-DZ"/>
        </w:rPr>
        <w:t>يدعم</w:t>
      </w:r>
      <w:r w:rsidRPr="00206844">
        <w:rPr>
          <w:rFonts w:ascii="Sakkal Majalla" w:hAnsi="Sakkal Majalla" w:cs="Sakkal Majalla"/>
          <w:sz w:val="32"/>
          <w:szCs w:val="32"/>
          <w:rtl/>
        </w:rPr>
        <w:t xml:space="preserve"> هذه الصلة، معتمدا في ذلك نظريته القائلة: "ليس للواقعة الجمالية أي وجود مادي</w:t>
      </w:r>
      <w:r w:rsidRPr="00206844">
        <w:rPr>
          <w:rFonts w:ascii="Sakkal Majalla" w:hAnsi="Sakkal Majalla" w:cs="Sakkal Majalla"/>
          <w:sz w:val="32"/>
          <w:szCs w:val="32"/>
        </w:rPr>
        <w:t>".</w:t>
      </w:r>
    </w:p>
    <w:p w:rsidR="00964191" w:rsidRPr="00206844" w:rsidRDefault="00964191" w:rsidP="00964191">
      <w:p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lastRenderedPageBreak/>
        <w:t xml:space="preserve">   </w:t>
      </w:r>
      <w:r w:rsidRPr="00206844">
        <w:rPr>
          <w:rFonts w:ascii="Sakkal Majalla" w:hAnsi="Sakkal Majalla" w:cs="Sakkal Majalla"/>
          <w:sz w:val="32"/>
          <w:szCs w:val="32"/>
          <w:rtl/>
        </w:rPr>
        <w:t xml:space="preserve">قضية أخرى من بين أهم القضايا التي لقيت اهتماما ً نظريا من قبيل كروتشه، وهي إنكاره لمسألة أن يكون الفن مجرد فعل أخلاقي. "ولهذا يقرر كروتشه أنه إذا كانت "الإرادة الخيرة" هي قوام الإنسان الفاضل، فإنها ليست قوام الإنسان الفنان. والسبب في ذلك أن مقولة "الأخلاقي" ً لا تنطبق أصلا على العمل الفني -من حيث هو عمل فني- ما دام المستحيل الحكم على أية صورة -من حيث هي مجرد صورة- ً أنها مقبولة أو مردودة أخلاقيا" </w:t>
      </w:r>
      <w:r>
        <w:rPr>
          <w:rStyle w:val="Appelnotedebasdep"/>
          <w:rFonts w:ascii="Sakkal Majalla" w:hAnsi="Sakkal Majalla" w:cs="Sakkal Majalla"/>
          <w:sz w:val="32"/>
          <w:szCs w:val="32"/>
          <w:rtl/>
        </w:rPr>
        <w:footnoteReference w:id="4"/>
      </w:r>
    </w:p>
    <w:p w:rsidR="00964191" w:rsidRPr="00206844" w:rsidRDefault="00964191" w:rsidP="00964191">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5-</w:t>
      </w:r>
      <w:r w:rsidRPr="00206844">
        <w:rPr>
          <w:rFonts w:ascii="Sakkal Majalla" w:hAnsi="Sakkal Majalla" w:cs="Sakkal Majalla"/>
          <w:b/>
          <w:bCs/>
          <w:sz w:val="32"/>
          <w:szCs w:val="32"/>
          <w:rtl/>
        </w:rPr>
        <w:t>مارتن هايدغر</w:t>
      </w:r>
      <w:r w:rsidRPr="00206844">
        <w:rPr>
          <w:rFonts w:ascii="Sakkal Majalla" w:hAnsi="Sakkal Majalla" w:cs="Sakkal Majalla"/>
          <w:b/>
          <w:bCs/>
          <w:sz w:val="32"/>
          <w:szCs w:val="32"/>
        </w:rPr>
        <w:t xml:space="preserve"> Martin Heidegger</w:t>
      </w:r>
    </w:p>
    <w:p w:rsidR="00964191" w:rsidRPr="00206844" w:rsidRDefault="00964191" w:rsidP="00964191">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يعد هايدغر </w:t>
      </w:r>
      <w:r w:rsidRPr="00206844">
        <w:rPr>
          <w:rFonts w:ascii="Sakkal Majalla" w:hAnsi="Sakkal Majalla" w:cs="Sakkal Majalla" w:hint="cs"/>
          <w:sz w:val="32"/>
          <w:szCs w:val="32"/>
          <w:rtl/>
        </w:rPr>
        <w:t>(1889</w:t>
      </w:r>
      <w:r w:rsidRPr="00206844">
        <w:rPr>
          <w:rFonts w:ascii="Sakkal Majalla" w:hAnsi="Sakkal Majalla" w:cs="Sakkal Majalla"/>
          <w:sz w:val="32"/>
          <w:szCs w:val="32"/>
          <w:rtl/>
        </w:rPr>
        <w:t xml:space="preserve"> - 1976)</w:t>
      </w:r>
      <w:r w:rsidRPr="00092DA5">
        <w:rPr>
          <w:rFonts w:ascii="Sakkal Majalla" w:hAnsi="Sakkal Majalla" w:cs="Sakkal Majalla"/>
          <w:sz w:val="32"/>
          <w:szCs w:val="32"/>
          <w:rtl/>
        </w:rPr>
        <w:t xml:space="preserve"> </w:t>
      </w:r>
      <w:r w:rsidRPr="00206844">
        <w:rPr>
          <w:rFonts w:ascii="Sakkal Majalla" w:hAnsi="Sakkal Majalla" w:cs="Sakkal Majalla"/>
          <w:sz w:val="32"/>
          <w:szCs w:val="32"/>
          <w:rtl/>
        </w:rPr>
        <w:t>من أبرز الفلاسفة الذين أولوا اهتماماتهم النقدية والفلسفية للظاهرة الفنية من حيث هي ظاهرة، لذلك باشر العمل في دراستها بتطبيقه لمنهج الظواهر، بغية الكشف عن الحقائق المضمرة في العمل الفني. ولعل ذلك راجع بالأساس إلى تأثره بأستاذه إدموند هوسرل</w:t>
      </w:r>
      <w:r w:rsidRPr="00206844">
        <w:rPr>
          <w:rFonts w:ascii="Sakkal Majalla" w:hAnsi="Sakkal Majalla" w:cs="Sakkal Majalla"/>
          <w:sz w:val="32"/>
          <w:szCs w:val="32"/>
        </w:rPr>
        <w:t>(1859 - 1938 )</w:t>
      </w:r>
      <w:r w:rsidRPr="00206844">
        <w:rPr>
          <w:rFonts w:ascii="Sakkal Majalla" w:hAnsi="Sakkal Majalla" w:cs="Sakkal Majalla"/>
          <w:sz w:val="32"/>
          <w:szCs w:val="32"/>
          <w:rtl/>
        </w:rPr>
        <w:t xml:space="preserve"> مؤسس علم الظواهر (الفينومينولوجيا). وللإشارة عمل هايدغر إلى جانب دراسته للظاهرة الفنية، على تكريس معظم طروحاته النقدية واهتماماته الفلسفية لدراسة قضايا هامة في النظريات الفلسفية وهي: "الوجود، والحرية، والحقيقة". ولئن كانت اهتمامات هايدغر تنحو صوب هذا الاتجاه</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والبداية مع قضية هامة كرس لها هايدغر إسهامات عديدة، وهي مسأ</w:t>
      </w:r>
      <w:r>
        <w:rPr>
          <w:rFonts w:ascii="Sakkal Majalla" w:hAnsi="Sakkal Majalla" w:cs="Sakkal Majalla"/>
          <w:sz w:val="32"/>
          <w:szCs w:val="32"/>
          <w:rtl/>
        </w:rPr>
        <w:t>لة الأصل في العمل الفني. ويستهل</w:t>
      </w: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هايدغر معرض حديثه عن هاذه القضية في كتابه "أصل العمل الفني" ً </w:t>
      </w:r>
      <w:r>
        <w:rPr>
          <w:rFonts w:ascii="Sakkal Majalla" w:hAnsi="Sakkal Majalla" w:cs="Sakkal Majalla"/>
          <w:sz w:val="32"/>
          <w:szCs w:val="32"/>
          <w:rtl/>
        </w:rPr>
        <w:t>، قائلا: "الأصل يعني هنا من أين</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وبماذا يكون هذا الشيء وما هو وكيف هو. هذا الذي يكون عليه الشيء وكيف هو، نسميه جوهره</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أصل الشيء هو مرجع جوهره. والسؤال عن أصل العمل الفني سؤال عن مرجع جوهره</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"ويتبدى من خلا</w:t>
      </w:r>
      <w:r>
        <w:rPr>
          <w:rFonts w:ascii="Sakkal Majalla" w:hAnsi="Sakkal Majalla" w:cs="Sakkal Majalla"/>
          <w:sz w:val="32"/>
          <w:szCs w:val="32"/>
          <w:rtl/>
        </w:rPr>
        <w:t xml:space="preserve">ل هذا التساؤل </w:t>
      </w:r>
      <w:r>
        <w:rPr>
          <w:rFonts w:ascii="Sakkal Majalla" w:hAnsi="Sakkal Majalla" w:cs="Sakkal Majalla" w:hint="cs"/>
          <w:sz w:val="32"/>
          <w:szCs w:val="32"/>
          <w:rtl/>
        </w:rPr>
        <w:t>الأبستمولوجي</w:t>
      </w:r>
      <w:r>
        <w:rPr>
          <w:rFonts w:ascii="Sakkal Majalla" w:hAnsi="Sakkal Majalla" w:cs="Sakkal Majalla"/>
          <w:sz w:val="32"/>
          <w:szCs w:val="32"/>
          <w:rtl/>
        </w:rPr>
        <w:t xml:space="preserve"> </w:t>
      </w:r>
      <w:r>
        <w:rPr>
          <w:rFonts w:ascii="Sakkal Majalla" w:hAnsi="Sakkal Majalla" w:cs="Sakkal Majalla" w:hint="cs"/>
          <w:sz w:val="32"/>
          <w:szCs w:val="32"/>
          <w:rtl/>
        </w:rPr>
        <w:t>معطى</w:t>
      </w:r>
      <w:r w:rsidRPr="00206844">
        <w:rPr>
          <w:rFonts w:ascii="Sakkal Majalla" w:hAnsi="Sakkal Majalla" w:cs="Sakkal Majalla" w:hint="cs"/>
          <w:sz w:val="32"/>
          <w:szCs w:val="32"/>
          <w:rtl/>
        </w:rPr>
        <w:t xml:space="preserve">ي </w:t>
      </w:r>
      <w:r>
        <w:rPr>
          <w:rFonts w:ascii="Sakkal Majalla" w:hAnsi="Sakkal Majalla" w:cs="Sakkal Majalla" w:hint="cs"/>
          <w:sz w:val="32"/>
          <w:szCs w:val="32"/>
          <w:rtl/>
        </w:rPr>
        <w:t>سائد</w:t>
      </w:r>
      <w:r w:rsidRPr="00206844">
        <w:rPr>
          <w:rFonts w:ascii="Sakkal Majalla" w:hAnsi="Sakkal Majalla" w:cs="Sakkal Majalla"/>
          <w:sz w:val="32"/>
          <w:szCs w:val="32"/>
          <w:rtl/>
        </w:rPr>
        <w:t xml:space="preserve"> ماهية الشيء المبحوث فيه. هذا الشيء هو العمل الفني الذي يحاول هايدغر جاهدا أن ينبش في ماهيته ومنبعه الأصلي وفي إطار البحث عن جوهر العمل الفني، يصل هايدغر إلى حقيقة معرفية مفادها: أن "الفنان هو أصل العمل الفني، وأن أصل العمل الفني أيضا هو الفنان". وبهذا يكشف لنا هايدغر حقيقة العلاقة الجدلية التي تربط بين الفنان والعمل الفني، ويقول في هذا الصدد: " ً الفنان والعمل الفني هما دائما في ذاتهما وفي علاقتهما المتبادلة موجودان عن طريق ثالث، هو الأول، أي ذلك الذي اتخذ منه الفنان والعمل الفني اسميهما، وهو طريق الفن" </w:t>
      </w:r>
      <w:r>
        <w:rPr>
          <w:rStyle w:val="Appelnotedebasdep"/>
          <w:rFonts w:ascii="Sakkal Majalla" w:hAnsi="Sakkal Majalla" w:cs="Sakkal Majalla"/>
          <w:sz w:val="32"/>
          <w:szCs w:val="32"/>
          <w:rtl/>
        </w:rPr>
        <w:footnoteReference w:id="5"/>
      </w:r>
      <w:r w:rsidRPr="00206844">
        <w:rPr>
          <w:rFonts w:ascii="Sakkal Majalla" w:hAnsi="Sakkal Majalla" w:cs="Sakkal Majalla"/>
          <w:sz w:val="32"/>
          <w:szCs w:val="32"/>
          <w:rtl/>
        </w:rPr>
        <w:t xml:space="preserve"> وعلى هذا يعتبر هايدغر أن كل ما يحصل في العمل الفني هو الحقيقة، وبالتالي فإن هذه الممارسة هي بمثابة تعبير عن الوجود، أي تعبير عن الحقائق الموجودة بمنظور فني؛ فهو ذاك الفن الذي يتحدث بلسان الوجود ويسعى بعد ذلك إلى الكشف عن الماهيات</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w:t>
      </w:r>
    </w:p>
    <w:p w:rsidR="00964191" w:rsidRPr="00206844" w:rsidRDefault="00964191" w:rsidP="00964191">
      <w:p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 xml:space="preserve">   </w:t>
      </w:r>
      <w:r w:rsidRPr="00206844">
        <w:rPr>
          <w:rFonts w:ascii="Sakkal Majalla" w:hAnsi="Sakkal Majalla" w:cs="Sakkal Majalla"/>
          <w:sz w:val="32"/>
          <w:szCs w:val="32"/>
          <w:rtl/>
        </w:rPr>
        <w:t>وخلال تحليل هايدغر لأهم قضايا أصل العمل الفني، يتساءل عن الطابع الشيئي للعمل الفني قائلا</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يغلب على الظن أن السؤال عن ذلك سيكون زائدا ً عن اللزوم ومربكا؛ لأن العمل الفني شيء آخر يتجاوز الشيئي. وهذا الشيء الآخر الذي يكمن فيه، هو الذي يكون العمل الفني. العمل الفني شيء مصنوع، ولكنه يقول: </w:t>
      </w:r>
      <w:r w:rsidRPr="00206844">
        <w:rPr>
          <w:rFonts w:ascii="Sakkal Majalla" w:hAnsi="Sakkal Majalla" w:cs="Sakkal Majalla"/>
          <w:sz w:val="32"/>
          <w:szCs w:val="32"/>
          <w:rtl/>
        </w:rPr>
        <w:lastRenderedPageBreak/>
        <w:t>هو شيء آخر غير الشيء المجرد في حد ذاته</w:t>
      </w:r>
      <w:r>
        <w:rPr>
          <w:rStyle w:val="Appelnotedebasdep"/>
          <w:rFonts w:ascii="Sakkal Majalla" w:hAnsi="Sakkal Majalla" w:cs="Sakkal Majalla"/>
          <w:sz w:val="32"/>
          <w:szCs w:val="32"/>
          <w:rtl/>
        </w:rPr>
        <w:footnoteReference w:id="6"/>
      </w:r>
      <w:r w:rsidRPr="00206844">
        <w:rPr>
          <w:rFonts w:ascii="Sakkal Majalla" w:hAnsi="Sakkal Majalla" w:cs="Sakkal Majalla"/>
          <w:sz w:val="32"/>
          <w:szCs w:val="32"/>
          <w:rtl/>
        </w:rPr>
        <w:t xml:space="preserve"> </w:t>
      </w:r>
      <w:r>
        <w:rPr>
          <w:rFonts w:ascii="Sakkal Majalla" w:hAnsi="Sakkal Majalla" w:cs="Sakkal Majalla" w:hint="cs"/>
          <w:sz w:val="32"/>
          <w:szCs w:val="32"/>
          <w:rtl/>
        </w:rPr>
        <w:t xml:space="preserve"> </w:t>
      </w:r>
      <w:r w:rsidRPr="00206844">
        <w:rPr>
          <w:rFonts w:ascii="Sakkal Majalla" w:hAnsi="Sakkal Majalla" w:cs="Sakkal Majalla"/>
          <w:sz w:val="32"/>
          <w:szCs w:val="32"/>
          <w:rtl/>
        </w:rPr>
        <w:t>وقد أراد ه</w:t>
      </w:r>
      <w:r>
        <w:rPr>
          <w:rFonts w:ascii="Sakkal Majalla" w:hAnsi="Sakkal Majalla" w:cs="Sakkal Majalla"/>
          <w:sz w:val="32"/>
          <w:szCs w:val="32"/>
          <w:rtl/>
        </w:rPr>
        <w:t>ايدغر في هذا الصدد أن يكشف الل</w:t>
      </w:r>
      <w:r w:rsidRPr="00206844">
        <w:rPr>
          <w:rFonts w:ascii="Sakkal Majalla" w:hAnsi="Sakkal Majalla" w:cs="Sakkal Majalla"/>
          <w:sz w:val="32"/>
          <w:szCs w:val="32"/>
          <w:rtl/>
        </w:rPr>
        <w:t>ثام عن الحقيقة ا</w:t>
      </w:r>
      <w:r>
        <w:rPr>
          <w:rFonts w:ascii="Sakkal Majalla" w:hAnsi="Sakkal Majalla" w:cs="Sakkal Majalla"/>
          <w:sz w:val="32"/>
          <w:szCs w:val="32"/>
          <w:rtl/>
        </w:rPr>
        <w:t>لمضمرة في العمل الفني، بوصفه بعدا يتجاوز الش</w:t>
      </w:r>
      <w:r w:rsidRPr="00206844">
        <w:rPr>
          <w:rFonts w:ascii="Sakkal Majalla" w:hAnsi="Sakkal Majalla" w:cs="Sakkal Majalla"/>
          <w:sz w:val="32"/>
          <w:szCs w:val="32"/>
          <w:rtl/>
        </w:rPr>
        <w:t>ئي، لذلك يعتبره (العمل الفني) بمثابة شيء مصنوع يكشف لنا كل ما ينطوي عليه من الأشياء والموضوعات والحقائق والوحدات الفنية.</w:t>
      </w:r>
    </w:p>
    <w:p w:rsidR="00315499" w:rsidRDefault="00964191" w:rsidP="00964191">
      <w:pPr>
        <w:bidi/>
      </w:pPr>
      <w:r w:rsidRPr="00206844">
        <w:rPr>
          <w:rFonts w:ascii="Sakkal Majalla" w:hAnsi="Sakkal Majalla" w:cs="Sakkal Majalla"/>
          <w:sz w:val="32"/>
          <w:szCs w:val="32"/>
          <w:rtl/>
        </w:rPr>
        <w:t>وخلال بحث هايدغر في صلة الفن بالحقيقة، يطرح فكرة في هذا الإطار قائلا بأن: "كل فن إنما هو في جوهره ضرب من الشعر"، وهايدغر هنا إنما يفهم الشعر" بمعنى واسع؛ لأنه يرتد إلى الأصل الاشتقاقي للكلمة اليونانية، فيفهم "الشعر" بمعنى "الإنشاء" أو "الإبداع" أو "الخلق". وحينما يقرر هايدغر أن سائر الفنون من معمار وتصوير وموسيقى ونحت إنما ترتد إلى الشعر، فإنه لا يعني بذلك أن لفن القول ضربا من الصدارة على فنون التجسيم أو التلوين أو التنغيم، بل هو يعني بذلك أن كل فن من الفنون لا بد من أن ينطوي على عملية إبداعية يحاول فيها الفنان أن يجعل من "الظاهر" ً تعبيرا عن "الباطن</w:t>
      </w:r>
      <w:r w:rsidRPr="00206844">
        <w:rPr>
          <w:rFonts w:ascii="Sakkal Majalla" w:hAnsi="Sakkal Majalla" w:cs="Sakkal Majalla"/>
          <w:sz w:val="32"/>
          <w:szCs w:val="32"/>
        </w:rPr>
        <w:t>"</w:t>
      </w:r>
      <w:bookmarkStart w:id="0" w:name="_GoBack"/>
      <w:bookmarkEnd w:id="0"/>
    </w:p>
    <w:sectPr w:rsidR="0031549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BB" w:rsidRDefault="00442EBB" w:rsidP="00C8663B">
      <w:pPr>
        <w:spacing w:after="0" w:line="240" w:lineRule="auto"/>
      </w:pPr>
      <w:r>
        <w:separator/>
      </w:r>
    </w:p>
  </w:endnote>
  <w:endnote w:type="continuationSeparator" w:id="0">
    <w:p w:rsidR="00442EBB" w:rsidRDefault="00442EBB" w:rsidP="00C8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BB" w:rsidRDefault="00442EBB" w:rsidP="00C8663B">
      <w:pPr>
        <w:spacing w:after="0" w:line="240" w:lineRule="auto"/>
      </w:pPr>
      <w:r>
        <w:separator/>
      </w:r>
    </w:p>
  </w:footnote>
  <w:footnote w:type="continuationSeparator" w:id="0">
    <w:p w:rsidR="00442EBB" w:rsidRDefault="00442EBB" w:rsidP="00C8663B">
      <w:pPr>
        <w:spacing w:after="0" w:line="240" w:lineRule="auto"/>
      </w:pPr>
      <w:r>
        <w:continuationSeparator/>
      </w:r>
    </w:p>
  </w:footnote>
  <w:footnote w:id="1">
    <w:p w:rsidR="00964191" w:rsidRPr="00750FDF" w:rsidRDefault="00964191" w:rsidP="00964191">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المرجع السابق، ص 165-170</w:t>
      </w:r>
    </w:p>
  </w:footnote>
  <w:footnote w:id="2">
    <w:p w:rsidR="00964191" w:rsidRPr="00750FDF" w:rsidRDefault="00964191" w:rsidP="00964191">
      <w:pPr>
        <w:pStyle w:val="Notedebasdepage"/>
        <w:bidi/>
        <w:jc w:val="both"/>
        <w:rPr>
          <w:rFonts w:ascii="Sakkal Majalla" w:hAnsi="Sakkal Majalla" w:cs="Sakkal Majalla"/>
          <w:sz w:val="28"/>
          <w:szCs w:val="28"/>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شاكر عبد الحميد: العملية الإبداعية في فن التصوير، سلسلة عالم المعرفة، عدد:  ،109المجلس الوطني للثقافة والفنون والآداب،</w:t>
      </w:r>
    </w:p>
    <w:p w:rsidR="00964191" w:rsidRPr="00750FDF" w:rsidRDefault="00964191" w:rsidP="00964191">
      <w:pPr>
        <w:pStyle w:val="Notedebasdepage"/>
        <w:bidi/>
        <w:jc w:val="both"/>
        <w:rPr>
          <w:rFonts w:ascii="Sakkal Majalla" w:hAnsi="Sakkal Majalla" w:cs="Sakkal Majalla"/>
          <w:sz w:val="28"/>
          <w:szCs w:val="28"/>
          <w:rtl/>
          <w:lang w:bidi="ar-DZ"/>
        </w:rPr>
      </w:pPr>
      <w:r w:rsidRPr="00750FDF">
        <w:rPr>
          <w:rFonts w:ascii="Sakkal Majalla" w:hAnsi="Sakkal Majalla" w:cs="Sakkal Majalla"/>
          <w:sz w:val="28"/>
          <w:szCs w:val="28"/>
          <w:rtl/>
        </w:rPr>
        <w:t>الكويت، يناير</w:t>
      </w:r>
      <w:r w:rsidRPr="00750FDF">
        <w:rPr>
          <w:rFonts w:ascii="Sakkal Majalla" w:hAnsi="Sakkal Majalla" w:cs="Sakkal Majalla"/>
          <w:sz w:val="28"/>
          <w:szCs w:val="28"/>
        </w:rPr>
        <w:t xml:space="preserve"> .</w:t>
      </w:r>
      <w:r w:rsidRPr="00750FDF">
        <w:rPr>
          <w:rFonts w:ascii="Sakkal Majalla" w:hAnsi="Sakkal Majalla" w:cs="Sakkal Majalla"/>
          <w:sz w:val="28"/>
          <w:szCs w:val="28"/>
          <w:rtl/>
        </w:rPr>
        <w:t>، 1987، ص 112-113</w:t>
      </w:r>
    </w:p>
  </w:footnote>
  <w:footnote w:id="3">
    <w:p w:rsidR="00964191" w:rsidRPr="00750FDF" w:rsidRDefault="00964191" w:rsidP="00964191">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زكريا إبراهيم: فلسفة الفن في الفكر المعاصر؛ مكتبة مصر، بغداد-العراق، ص37</w:t>
      </w:r>
    </w:p>
  </w:footnote>
  <w:footnote w:id="4">
    <w:p w:rsidR="00964191" w:rsidRPr="00750FDF" w:rsidRDefault="00964191" w:rsidP="00964191">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المرجع السابق ، ص39</w:t>
      </w:r>
    </w:p>
  </w:footnote>
  <w:footnote w:id="5">
    <w:p w:rsidR="00964191" w:rsidRPr="00750FDF" w:rsidRDefault="00964191" w:rsidP="00964191">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مارتن هايدغر: أصل العمل الفني؛ ترجمة: أبو العيد دودو، منشورات الجمل، كولونيا، الطبعة الأولى، 2003، ص58</w:t>
      </w:r>
    </w:p>
  </w:footnote>
  <w:footnote w:id="6">
    <w:p w:rsidR="00964191" w:rsidRPr="00750FDF" w:rsidRDefault="00964191" w:rsidP="00964191">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xml:space="preserve">- المرجع السابق، ص62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3B" w:rsidRPr="00206844" w:rsidRDefault="00C8663B" w:rsidP="00C8663B">
    <w:pPr>
      <w:pStyle w:val="En-tte"/>
      <w:tabs>
        <w:tab w:val="clear" w:pos="4536"/>
        <w:tab w:val="clear" w:pos="9072"/>
        <w:tab w:val="left" w:pos="6612"/>
      </w:tabs>
      <w:bidi/>
      <w:rPr>
        <w:rFonts w:ascii="Sakkal Majalla" w:hAnsi="Sakkal Majalla" w:cs="Sakkal Majalla"/>
        <w:b/>
        <w:bCs/>
        <w:sz w:val="24"/>
        <w:szCs w:val="24"/>
        <w:rtl/>
        <w:lang w:bidi="ar-DZ"/>
      </w:rPr>
    </w:pPr>
    <w:r w:rsidRPr="00206844">
      <w:rPr>
        <w:rFonts w:ascii="Sakkal Majalla" w:hAnsi="Sakkal Majalla" w:cs="Sakkal Majalla"/>
        <w:b/>
        <w:bCs/>
        <w:sz w:val="24"/>
        <w:szCs w:val="24"/>
        <w:rtl/>
      </w:rPr>
      <w:t xml:space="preserve">محاضرات </w:t>
    </w:r>
    <w:r w:rsidRPr="00206844">
      <w:rPr>
        <w:rFonts w:ascii="Sakkal Majalla" w:hAnsi="Sakkal Majalla" w:cs="Sakkal Majalla" w:hint="cs"/>
        <w:b/>
        <w:bCs/>
        <w:sz w:val="24"/>
        <w:szCs w:val="24"/>
        <w:rtl/>
      </w:rPr>
      <w:t>فلسفة الفن                                                                                                     سنة ثالثة فنون تشكيلية</w:t>
    </w:r>
    <w:r w:rsidRPr="00206844">
      <w:rPr>
        <w:rFonts w:ascii="Sakkal Majalla" w:hAnsi="Sakkal Majalla" w:cs="Sakkal Majalla"/>
        <w:b/>
        <w:bCs/>
        <w:sz w:val="24"/>
        <w:szCs w:val="24"/>
        <w:rtl/>
        <w:lang w:bidi="ar-DZ"/>
      </w:rPr>
      <w:t xml:space="preserve"> (السداسي الثاني)</w:t>
    </w:r>
    <w:r w:rsidRPr="00206844">
      <w:rPr>
        <w:rFonts w:ascii="Sakkal Majalla" w:hAnsi="Sakkal Majalla" w:cs="Sakkal Majalla" w:hint="cs"/>
        <w:b/>
        <w:bCs/>
        <w:sz w:val="24"/>
        <w:szCs w:val="24"/>
        <w:rtl/>
        <w:lang w:bidi="ar-DZ"/>
      </w:rPr>
      <w:t xml:space="preserve"> </w:t>
    </w:r>
  </w:p>
  <w:p w:rsidR="00C8663B" w:rsidRPr="001B2686" w:rsidRDefault="00C8663B" w:rsidP="00C8663B">
    <w:pPr>
      <w:pStyle w:val="En-tte"/>
      <w:tabs>
        <w:tab w:val="clear" w:pos="4536"/>
        <w:tab w:val="clear" w:pos="9072"/>
        <w:tab w:val="left" w:pos="6612"/>
      </w:tabs>
      <w:bidi/>
      <w:jc w:val="center"/>
      <w:rPr>
        <w:rFonts w:ascii="Sakkal Majalla" w:hAnsi="Sakkal Majalla" w:cs="Sakkal Majalla"/>
        <w:b/>
        <w:bCs/>
        <w:sz w:val="28"/>
        <w:szCs w:val="28"/>
        <w:rtl/>
        <w:lang w:bidi="ar-DZ"/>
      </w:rPr>
    </w:pPr>
    <w:r w:rsidRPr="00206844">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w:t>
    </w:r>
    <w:r w:rsidRPr="00206844">
      <w:rPr>
        <w:rFonts w:ascii="Sakkal Majalla" w:hAnsi="Sakkal Majalla" w:cs="Sakkal Majalla" w:hint="cs"/>
        <w:b/>
        <w:bCs/>
        <w:sz w:val="24"/>
        <w:szCs w:val="24"/>
        <w:rtl/>
        <w:lang w:bidi="ar-DZ"/>
      </w:rPr>
      <w:t xml:space="preserve">                 أ. د سماش سيد أحمد</w:t>
    </w:r>
  </w:p>
  <w:p w:rsidR="00C8663B" w:rsidRPr="00C8663B" w:rsidRDefault="00C8663B" w:rsidP="00C8663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3B"/>
    <w:rsid w:val="00315499"/>
    <w:rsid w:val="00442EBB"/>
    <w:rsid w:val="00964191"/>
    <w:rsid w:val="00C866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ABA5E-CB0F-414B-A7C2-A621D54F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8663B"/>
    <w:pPr>
      <w:spacing w:after="0" w:line="240" w:lineRule="auto"/>
    </w:pPr>
    <w:rPr>
      <w:sz w:val="20"/>
      <w:szCs w:val="20"/>
    </w:rPr>
  </w:style>
  <w:style w:type="character" w:customStyle="1" w:styleId="NotedebasdepageCar">
    <w:name w:val="Note de bas de page Car"/>
    <w:basedOn w:val="Policepardfaut"/>
    <w:link w:val="Notedebasdepage"/>
    <w:uiPriority w:val="99"/>
    <w:rsid w:val="00C8663B"/>
    <w:rPr>
      <w:sz w:val="20"/>
      <w:szCs w:val="20"/>
    </w:rPr>
  </w:style>
  <w:style w:type="character" w:styleId="Appelnotedebasdep">
    <w:name w:val="footnote reference"/>
    <w:basedOn w:val="Policepardfaut"/>
    <w:uiPriority w:val="99"/>
    <w:semiHidden/>
    <w:unhideWhenUsed/>
    <w:rsid w:val="00C8663B"/>
    <w:rPr>
      <w:vertAlign w:val="superscript"/>
    </w:rPr>
  </w:style>
  <w:style w:type="paragraph" w:styleId="En-tte">
    <w:name w:val="header"/>
    <w:basedOn w:val="Normal"/>
    <w:link w:val="En-tteCar"/>
    <w:uiPriority w:val="99"/>
    <w:unhideWhenUsed/>
    <w:rsid w:val="00C8663B"/>
    <w:pPr>
      <w:tabs>
        <w:tab w:val="center" w:pos="4536"/>
        <w:tab w:val="right" w:pos="9072"/>
      </w:tabs>
      <w:spacing w:after="0" w:line="240" w:lineRule="auto"/>
    </w:pPr>
  </w:style>
  <w:style w:type="character" w:customStyle="1" w:styleId="En-tteCar">
    <w:name w:val="En-tête Car"/>
    <w:basedOn w:val="Policepardfaut"/>
    <w:link w:val="En-tte"/>
    <w:uiPriority w:val="99"/>
    <w:rsid w:val="00C8663B"/>
  </w:style>
  <w:style w:type="paragraph" w:styleId="Pieddepage">
    <w:name w:val="footer"/>
    <w:basedOn w:val="Normal"/>
    <w:link w:val="PieddepageCar"/>
    <w:uiPriority w:val="99"/>
    <w:unhideWhenUsed/>
    <w:rsid w:val="00C866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1211</Words>
  <Characters>6662</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2025-03-21T14:27:00Z</dcterms:created>
  <dcterms:modified xsi:type="dcterms:W3CDTF">2025-03-21T14:39:00Z</dcterms:modified>
</cp:coreProperties>
</file>