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54" w:rsidRPr="00043F87" w:rsidRDefault="00335954" w:rsidP="00335954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043F87">
        <w:rPr>
          <w:rFonts w:asciiTheme="majorBidi" w:hAnsiTheme="majorBidi" w:cstheme="majorBidi"/>
          <w:b/>
          <w:bCs/>
          <w:sz w:val="40"/>
          <w:szCs w:val="40"/>
        </w:rPr>
        <w:t>Antidépresseurs</w:t>
      </w:r>
    </w:p>
    <w:p w:rsidR="00335954" w:rsidRDefault="00335954" w:rsidP="0033595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335954" w:rsidRPr="008F5FD2" w:rsidRDefault="00335954" w:rsidP="0033595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5FD2">
        <w:rPr>
          <w:rFonts w:asciiTheme="majorBidi" w:hAnsiTheme="majorBidi" w:cstheme="majorBidi"/>
          <w:b/>
          <w:bCs/>
          <w:sz w:val="28"/>
          <w:szCs w:val="28"/>
        </w:rPr>
        <w:t>Objectifs du cours</w:t>
      </w:r>
    </w:p>
    <w:p w:rsidR="00043F87" w:rsidRPr="00043F87" w:rsidRDefault="00043F87" w:rsidP="0004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b/>
          <w:bCs/>
          <w:sz w:val="24"/>
          <w:szCs w:val="24"/>
        </w:rPr>
        <w:t>1. Connaissances fondamentales</w:t>
      </w:r>
      <w:bookmarkStart w:id="0" w:name="_GoBack"/>
      <w:bookmarkEnd w:id="0"/>
    </w:p>
    <w:p w:rsidR="00043F87" w:rsidRPr="00043F87" w:rsidRDefault="00043F87" w:rsidP="00043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Définir la dépression et comprendre sa physiopathologie (déséquilibre des neurotransmetteurs).</w:t>
      </w:r>
    </w:p>
    <w:p w:rsidR="00043F87" w:rsidRPr="00043F87" w:rsidRDefault="00043F87" w:rsidP="00043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Expliquer le rôle des neurotransmetteurs (5HT, NA, DA) dans les troubles dépressifs.</w:t>
      </w:r>
    </w:p>
    <w:p w:rsidR="00043F87" w:rsidRPr="00043F87" w:rsidRDefault="00043F87" w:rsidP="0004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b/>
          <w:bCs/>
          <w:sz w:val="24"/>
          <w:szCs w:val="24"/>
        </w:rPr>
        <w:t>2. Classification pharmacologique</w:t>
      </w:r>
    </w:p>
    <w:p w:rsidR="00043F87" w:rsidRPr="00043F87" w:rsidRDefault="00043F87" w:rsidP="00043F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Classer les différents antidépresseurs :</w:t>
      </w:r>
    </w:p>
    <w:p w:rsidR="00043F87" w:rsidRPr="00043F87" w:rsidRDefault="00043F87" w:rsidP="00043F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Tricycliques (ATC)</w:t>
      </w:r>
    </w:p>
    <w:p w:rsidR="00043F87" w:rsidRPr="00043F87" w:rsidRDefault="00043F87" w:rsidP="00043F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ISRS (inhibiteurs sélectifs de la recapture de la sérotonine)</w:t>
      </w:r>
    </w:p>
    <w:p w:rsidR="00043F87" w:rsidRPr="00043F87" w:rsidRDefault="00043F87" w:rsidP="00043F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IRSNA (inhibiteurs de la recapture de la sérotonine et noradrénaline)</w:t>
      </w:r>
    </w:p>
    <w:p w:rsidR="00043F87" w:rsidRPr="00043F87" w:rsidRDefault="00043F87" w:rsidP="00043F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IMAO (inhibiteurs de la monoamine oxydase)</w:t>
      </w:r>
    </w:p>
    <w:p w:rsidR="00043F87" w:rsidRPr="00043F87" w:rsidRDefault="00043F87" w:rsidP="00043F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Antidépresseurs atypiques et plantes médicinales (ex. : millepertuis)</w:t>
      </w:r>
    </w:p>
    <w:p w:rsidR="00043F87" w:rsidRPr="00043F87" w:rsidRDefault="00043F87" w:rsidP="0004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b/>
          <w:bCs/>
          <w:sz w:val="24"/>
          <w:szCs w:val="24"/>
        </w:rPr>
        <w:t>3. Mécanismes d’action</w:t>
      </w:r>
    </w:p>
    <w:p w:rsidR="00043F87" w:rsidRPr="00043F87" w:rsidRDefault="00043F87" w:rsidP="00043F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Décrire le mode d’action de chaque classe d’antidépresseurs sur la transmission synaptique.</w:t>
      </w:r>
    </w:p>
    <w:p w:rsidR="00043F87" w:rsidRPr="00043F87" w:rsidRDefault="00043F87" w:rsidP="0004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b/>
          <w:bCs/>
          <w:sz w:val="24"/>
          <w:szCs w:val="24"/>
        </w:rPr>
        <w:t>4. Indications thérapeutiques</w:t>
      </w:r>
    </w:p>
    <w:p w:rsidR="00043F87" w:rsidRPr="00043F87" w:rsidRDefault="00043F87" w:rsidP="00043F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Identifier les indications psychiatriques (dépression, troubles anxieux, TOC…) et non psychiatriques (douleurs chroniques, énurésie…).</w:t>
      </w:r>
    </w:p>
    <w:p w:rsidR="00043F87" w:rsidRPr="00043F87" w:rsidRDefault="00043F87" w:rsidP="0004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b/>
          <w:bCs/>
          <w:sz w:val="24"/>
          <w:szCs w:val="24"/>
        </w:rPr>
        <w:t>5. Effets indésirables et risques</w:t>
      </w:r>
    </w:p>
    <w:p w:rsidR="00043F87" w:rsidRPr="00043F87" w:rsidRDefault="00043F87" w:rsidP="00043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Reconnaître les effets indésirables fréquents par classe.</w:t>
      </w:r>
    </w:p>
    <w:p w:rsidR="00043F87" w:rsidRPr="00043F87" w:rsidRDefault="00043F87" w:rsidP="00043F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Expliquer les précautions d’emploi et les contre-indications (ex. : glaucome, troubles cardiaques, interactions médicamenteuses).</w:t>
      </w:r>
    </w:p>
    <w:p w:rsidR="00043F87" w:rsidRPr="00043F87" w:rsidRDefault="00043F87" w:rsidP="00043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b/>
          <w:bCs/>
          <w:sz w:val="24"/>
          <w:szCs w:val="24"/>
        </w:rPr>
        <w:t>6. Bon usage et surveillance</w:t>
      </w:r>
    </w:p>
    <w:p w:rsidR="00043F87" w:rsidRPr="00043F87" w:rsidRDefault="00043F87" w:rsidP="00043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Discuter de la stratégie de prescription (choix, durée minimale, suivi).</w:t>
      </w:r>
    </w:p>
    <w:p w:rsidR="00043F87" w:rsidRPr="00043F87" w:rsidRDefault="00043F87" w:rsidP="00043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Prévenir les interactions médicamenteuses graves (notamment syndrome sérotoninergique).</w:t>
      </w:r>
    </w:p>
    <w:p w:rsidR="00043F87" w:rsidRPr="00043F87" w:rsidRDefault="00043F87" w:rsidP="00043F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3F87">
        <w:rPr>
          <w:rFonts w:ascii="Times New Roman" w:eastAsia="Times New Roman" w:hAnsi="Times New Roman" w:cs="Times New Roman"/>
          <w:sz w:val="24"/>
          <w:szCs w:val="24"/>
        </w:rPr>
        <w:t>Conseiller le patient sur l’importance de l’observance et de la durée du traitement.</w:t>
      </w:r>
    </w:p>
    <w:p w:rsidR="00C0006A" w:rsidRDefault="00C0006A"/>
    <w:sectPr w:rsidR="00C0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46418"/>
    <w:multiLevelType w:val="multilevel"/>
    <w:tmpl w:val="71DC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70558"/>
    <w:multiLevelType w:val="multilevel"/>
    <w:tmpl w:val="634C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B2A4E"/>
    <w:multiLevelType w:val="multilevel"/>
    <w:tmpl w:val="75B4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D7304"/>
    <w:multiLevelType w:val="multilevel"/>
    <w:tmpl w:val="76B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1D6872"/>
    <w:multiLevelType w:val="multilevel"/>
    <w:tmpl w:val="4BF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649DF"/>
    <w:multiLevelType w:val="hybridMultilevel"/>
    <w:tmpl w:val="1F1005A0"/>
    <w:lvl w:ilvl="0" w:tplc="D418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C09DB"/>
    <w:multiLevelType w:val="multilevel"/>
    <w:tmpl w:val="8946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54"/>
    <w:rsid w:val="00043F87"/>
    <w:rsid w:val="00335954"/>
    <w:rsid w:val="00C0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B7433-7CE6-4E54-8E72-8253A0D5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954"/>
  </w:style>
  <w:style w:type="paragraph" w:styleId="Titre3">
    <w:name w:val="heading 3"/>
    <w:basedOn w:val="Normal"/>
    <w:link w:val="Titre3Car"/>
    <w:uiPriority w:val="9"/>
    <w:qFormat/>
    <w:rsid w:val="00043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954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043F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043F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2025-04-20T10:19:00Z</dcterms:created>
  <dcterms:modified xsi:type="dcterms:W3CDTF">2025-04-21T13:49:00Z</dcterms:modified>
</cp:coreProperties>
</file>